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F9A8A" w14:textId="5EC31E59" w:rsidR="00D87F40" w:rsidRPr="00D23D72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          </w:t>
      </w:r>
    </w:p>
    <w:p w14:paraId="0E485E07" w14:textId="77777777" w:rsidR="00D87F40" w:rsidRPr="00D23D72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Załącznik Nr 4 </w:t>
      </w:r>
    </w:p>
    <w:p w14:paraId="3FF7DD29" w14:textId="5698177C" w:rsidR="00D87F40" w:rsidRPr="00D23D72" w:rsidRDefault="00D87F40" w:rsidP="005802DC">
      <w:pPr>
        <w:spacing w:after="0" w:line="240" w:lineRule="auto"/>
        <w:ind w:left="6360" w:right="-285" w:firstLine="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do Zasad  </w:t>
      </w:r>
    </w:p>
    <w:p w14:paraId="5DD94559" w14:textId="207EF4F0" w:rsidR="00D87F40" w:rsidRPr="00D23D72" w:rsidRDefault="00D87F40" w:rsidP="005802DC">
      <w:pPr>
        <w:spacing w:after="0" w:line="240" w:lineRule="auto"/>
        <w:ind w:left="6945" w:right="-285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</w:t>
      </w:r>
    </w:p>
    <w:p w14:paraId="692247F3" w14:textId="2AF5DE23" w:rsidR="00D87F40" w:rsidRPr="00D23D72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499"/>
        <w:gridCol w:w="390"/>
        <w:gridCol w:w="3091"/>
      </w:tblGrid>
      <w:tr w:rsidR="00D87F40" w:rsidRPr="00D23D72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23D72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FCDEF" w14:textId="08B60D7E" w:rsidR="003E4666" w:rsidRPr="00711ADD" w:rsidRDefault="00D87F40" w:rsidP="00711AD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711A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  <w:r w:rsidR="00FA03C0" w:rsidRPr="00711A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711ADD" w:rsidRPr="00711ADD">
              <w:rPr>
                <w:rStyle w:val="xword"/>
                <w:rFonts w:ascii="Verdana" w:hAnsi="Verdana"/>
                <w:sz w:val="20"/>
                <w:szCs w:val="20"/>
              </w:rPr>
              <w:t xml:space="preserve">Metody pozyskiwania i zarządzania okazami </w:t>
            </w:r>
            <w:r w:rsidR="00711ADD" w:rsidRPr="00711ADD">
              <w:rPr>
                <w:rStyle w:val="xword"/>
                <w:rFonts w:ascii="Verdana" w:hAnsi="Verdana"/>
                <w:bCs/>
                <w:sz w:val="20"/>
                <w:szCs w:val="20"/>
              </w:rPr>
              <w:t xml:space="preserve">geologicznymi </w:t>
            </w:r>
            <w:r w:rsidR="00711ADD" w:rsidRPr="00711ADD">
              <w:rPr>
                <w:rStyle w:val="xword"/>
                <w:rFonts w:ascii="Verdana" w:hAnsi="Verdana"/>
                <w:sz w:val="20"/>
                <w:szCs w:val="20"/>
              </w:rPr>
              <w:t>o wartości kolekcjonerskiej</w:t>
            </w:r>
            <w:r w:rsidR="00711ADD" w:rsidRPr="00711ADD">
              <w:rPr>
                <w:rStyle w:val="xword"/>
                <w:rFonts w:ascii="Verdana" w:hAnsi="Verdana"/>
                <w:bCs/>
                <w:sz w:val="20"/>
                <w:szCs w:val="20"/>
              </w:rPr>
              <w:t xml:space="preserve"> i muzealnej</w:t>
            </w:r>
            <w:r w:rsidR="003E4666" w:rsidRPr="00711AD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Methods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finding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managing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geological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samples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collection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museum</w:t>
            </w:r>
            <w:proofErr w:type="spellEnd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11ADD" w:rsidRPr="00711AD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value</w:t>
            </w:r>
            <w:proofErr w:type="spellEnd"/>
          </w:p>
        </w:tc>
      </w:tr>
      <w:tr w:rsidR="00D87F40" w:rsidRPr="00D23D72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D23D72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1E71E" w14:textId="758F4265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FA03C0" w:rsidRPr="00D23D72">
              <w:rPr>
                <w:rStyle w:val="normaltextrun"/>
                <w:rFonts w:ascii="Verdana" w:hAnsi="Verdana"/>
                <w:sz w:val="20"/>
                <w:szCs w:val="20"/>
                <w:bdr w:val="none" w:sz="0" w:space="0" w:color="auto" w:frame="1"/>
              </w:rPr>
              <w:t>Nauki o Ziemi i Środowisku</w:t>
            </w:r>
          </w:p>
        </w:tc>
      </w:tr>
      <w:tr w:rsidR="00D87F40" w:rsidRPr="00D23D72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23D72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5187E" w14:textId="08239D1D" w:rsidR="00D87F40" w:rsidRPr="00D23D72" w:rsidRDefault="00D87F40" w:rsidP="00FA03C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Język polski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23D72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23D72" w:rsidRDefault="00D87F40" w:rsidP="00D87F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0BBBF" w14:textId="2AF2DD4F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FA03C0" w:rsidRPr="00D23D72">
              <w:rPr>
                <w:rStyle w:val="normaltextrun"/>
                <w:rFonts w:ascii="Verdana" w:hAnsi="Verdana"/>
                <w:sz w:val="20"/>
                <w:szCs w:val="20"/>
                <w:bdr w:val="none" w:sz="0" w:space="0" w:color="auto" w:frame="1"/>
              </w:rPr>
              <w:t>WNZKS, Instytut Nauk Geologicznych</w:t>
            </w:r>
          </w:p>
        </w:tc>
      </w:tr>
      <w:tr w:rsidR="00D87F40" w:rsidRPr="00D23D72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23D72" w:rsidRDefault="00D87F40" w:rsidP="00D87F4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1E3FC6" w14:textId="78A418A0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</w:tc>
      </w:tr>
      <w:tr w:rsidR="00D87F40" w:rsidRPr="00D23D72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23D72" w:rsidRDefault="00D87F40" w:rsidP="00D87F4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EAA3" w14:textId="46A8F142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3E4666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Do wyboru</w:t>
            </w:r>
          </w:p>
        </w:tc>
      </w:tr>
      <w:tr w:rsidR="00D87F40" w:rsidRPr="00D23D72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23D72" w:rsidRDefault="00D87F40" w:rsidP="00D87F4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7157" w14:textId="7BA45223" w:rsidR="00D87F40" w:rsidRPr="00D23D72" w:rsidRDefault="00FA03C0" w:rsidP="001233EB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</w:t>
            </w:r>
            <w:r w:rsidR="0009689A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(specjalizacja)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Geologia</w:t>
            </w:r>
            <w:r w:rsidR="00D87F4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23D72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23D72" w:rsidRDefault="00D87F40" w:rsidP="00D87F4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EDE24" w14:textId="63F5A7D0" w:rsidR="00D87F40" w:rsidRPr="00D23D72" w:rsidRDefault="00D87F40" w:rsidP="0009689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="00FA03C0"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br/>
              <w:t>I</w:t>
            </w:r>
            <w:r w:rsidR="0009689A"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="00FA03C0"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 xml:space="preserve"> stopień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23D72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2E850199" w:rsidR="00D87F40" w:rsidRPr="00D23D72" w:rsidRDefault="00D87F40" w:rsidP="00D87F4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B9DFB" w14:textId="6233BBA4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Pierwszy</w:t>
            </w:r>
            <w:r w:rsidR="0009689A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/drugi</w:t>
            </w:r>
          </w:p>
        </w:tc>
      </w:tr>
      <w:tr w:rsidR="00D87F40" w:rsidRPr="00D23D72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23D72" w:rsidRDefault="00D87F40" w:rsidP="00D87F4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3D424" w14:textId="240A165D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Letni</w:t>
            </w:r>
          </w:p>
        </w:tc>
      </w:tr>
      <w:tr w:rsidR="00D87F40" w:rsidRPr="00D23D72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23D72" w:rsidRDefault="00D87F40" w:rsidP="00D87F4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7160A" w14:textId="4056B7B2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Wykład, 20 godzin</w:t>
            </w:r>
          </w:p>
        </w:tc>
      </w:tr>
      <w:tr w:rsidR="00D87F40" w:rsidRPr="00D23D72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23D72" w:rsidRDefault="00D87F40" w:rsidP="00D87F4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8D900" w14:textId="1D2AD9AE" w:rsidR="00D87F40" w:rsidRPr="00D23D72" w:rsidRDefault="00D87F40" w:rsidP="0009689A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Wiedza z zakresu </w:t>
            </w:r>
            <w:r w:rsidR="0009689A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geologii na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poziomie </w:t>
            </w:r>
            <w:r w:rsidR="0009689A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studiów licencjackich</w:t>
            </w:r>
          </w:p>
        </w:tc>
      </w:tr>
      <w:tr w:rsidR="00D87F40" w:rsidRPr="00D23D72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23D72" w:rsidRDefault="00D87F40" w:rsidP="00D87F4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89A8" w14:textId="38847D89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</w:t>
            </w:r>
            <w:r w:rsidR="00195BB4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="00195BB4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>Celem przedmiotu jest przedstawienie najważniejszych zasad prawnych (ze szczególnym uwzględnieniem Polski i innych krajów Unii Europejskiej), naukowych i praktycznych zbierania okazów i próbek geologicznych i paleontologicznych, ich zabezpieczania oraz dokumentowania</w:t>
            </w:r>
            <w:r w:rsid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>, a także wartości naukowych, ekonomicznych i społecznych kolekcji geologicznych</w:t>
            </w:r>
            <w:r w:rsidR="00195BB4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. 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23D72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23D72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77777777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 </w:t>
            </w:r>
          </w:p>
          <w:p w14:paraId="00554169" w14:textId="6B54C6D6" w:rsidR="00195BB4" w:rsidRPr="00D23D72" w:rsidRDefault="00195BB4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 Historia kolekcjonerstwa obiektów przyrody nieożywionej</w:t>
            </w:r>
            <w:r w:rsidR="00F81FD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* Prawne uwarunkowania pozyskiwania okazów skał, minerałów i skamieniałości w Polsce i innych krajach do celów badawczych i kolekcjonerskich, prawne podstawy ich przewozu między różnymi krajami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* Naukowe podstawy pobierania okazów geologicznych lub paleontologicznych: liczebność i wielkość, zasady poboru, opisu i zabezpieczenia terenowego</w:t>
            </w:r>
          </w:p>
          <w:p w14:paraId="7B29AC38" w14:textId="77777777" w:rsidR="00F81FD1" w:rsidRPr="00D23D72" w:rsidRDefault="00195BB4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* Preparatyka </w:t>
            </w:r>
            <w:r w:rsidR="00F81FD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próbek skalnych i skamieniałości</w:t>
            </w:r>
          </w:p>
          <w:p w14:paraId="7F8721C1" w14:textId="77777777" w:rsidR="00F81FD1" w:rsidRPr="00D23D72" w:rsidRDefault="00F81FD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 Przechowywanie, katalogowanie i naukowy opis okazów geologicznych</w:t>
            </w:r>
          </w:p>
          <w:p w14:paraId="67A155BD" w14:textId="7914B878" w:rsidR="00F81FD1" w:rsidRPr="00D23D72" w:rsidRDefault="00F81FD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* Współczesny handel okazami geologicznymi</w:t>
            </w:r>
            <w:r w:rsidR="0013609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ich wartość muzealna</w:t>
            </w:r>
            <w:r w:rsidR="0013609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* </w:t>
            </w:r>
            <w:r w:rsidR="00C06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Naukowe, </w:t>
            </w:r>
            <w:proofErr w:type="spellStart"/>
            <w:r w:rsidR="00C064D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</w:t>
            </w:r>
            <w:r w:rsidR="0013609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eoturystyczne</w:t>
            </w:r>
            <w:proofErr w:type="spellEnd"/>
            <w:r w:rsidR="0013609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i społeczne </w:t>
            </w:r>
            <w:r w:rsidR="0013609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znaczenie kolekcji geologicznych</w:t>
            </w:r>
          </w:p>
          <w:p w14:paraId="3DE62F05" w14:textId="17A49980" w:rsidR="00D87F40" w:rsidRPr="00D23D72" w:rsidRDefault="00F81FD1" w:rsidP="00F81FD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 Kolekcje muzealne i dydaktyczne minerałów, skał oraz skamieniałości w Polsce i na świecie</w:t>
            </w:r>
          </w:p>
        </w:tc>
      </w:tr>
      <w:tr w:rsidR="00D87F40" w:rsidRPr="00D23D72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336321F5" w:rsidR="00D87F40" w:rsidRPr="00D23D72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AB2CA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08C9DD15" w14:textId="77777777" w:rsidR="00835231" w:rsidRPr="00D23D72" w:rsidRDefault="0083523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7748E00" w14:textId="440DE105" w:rsidR="00136091" w:rsidRPr="00D23D72" w:rsidRDefault="0083523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SimSun" w:hAnsi="Verdana" w:cs="Verdana"/>
                <w:sz w:val="20"/>
                <w:szCs w:val="20"/>
              </w:rPr>
              <w:t xml:space="preserve">W_1 </w:t>
            </w:r>
            <w:r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>Student posiada wiedzę w zakresie</w:t>
            </w:r>
            <w:r w:rsidR="00136091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zasad prawidłowego planowania, poboru, zabezpieczania i opisu próbek geologicznych do badań naukowych.</w:t>
            </w:r>
            <w:r w:rsidR="00136091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br/>
            </w:r>
            <w:r w:rsidR="00136091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br/>
            </w:r>
            <w:r w:rsidR="00136091" w:rsidRPr="00D23D72">
              <w:rPr>
                <w:rFonts w:ascii="Verdana" w:eastAsia="SimSun" w:hAnsi="Verdana" w:cs="Verdana"/>
                <w:sz w:val="20"/>
                <w:szCs w:val="20"/>
              </w:rPr>
              <w:t xml:space="preserve">W_2 </w:t>
            </w:r>
            <w:r w:rsidR="00136091" w:rsidRPr="00D23D72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Student posiada wiedzę o prawnych aspektach poboru okazów geologicznych oraz ich przewożenia do i z innych krajów.  </w:t>
            </w:r>
          </w:p>
          <w:p w14:paraId="7FF085CB" w14:textId="12610CE8" w:rsidR="00835231" w:rsidRPr="00D23D72" w:rsidRDefault="0083523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hAnsi="Verdana" w:cs="Verdana"/>
                <w:sz w:val="20"/>
                <w:szCs w:val="20"/>
              </w:rPr>
            </w:pPr>
            <w:r w:rsidRPr="00D23D72">
              <w:rPr>
                <w:rFonts w:ascii="Verdana" w:hAnsi="Verdana" w:cs="Verdana"/>
                <w:sz w:val="20"/>
                <w:szCs w:val="20"/>
              </w:rPr>
              <w:t>U_1</w:t>
            </w:r>
            <w:r w:rsidR="00136091" w:rsidRPr="00D23D72">
              <w:rPr>
                <w:rFonts w:ascii="Verdana" w:hAnsi="Verdana" w:cs="Verdana"/>
                <w:sz w:val="20"/>
                <w:szCs w:val="20"/>
              </w:rPr>
              <w:t xml:space="preserve"> Student potrafi prawidłowo pobrać, wypreparować i udokumentować geologiczne próbki naukowe i okazy kolekcjonerskie.</w:t>
            </w:r>
          </w:p>
          <w:p w14:paraId="6F9DFC20" w14:textId="303F80FE" w:rsidR="00835231" w:rsidRPr="00D23D72" w:rsidRDefault="00835231" w:rsidP="00D23D72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SimSun" w:hAnsi="Verdana" w:cs="Verdana"/>
                <w:sz w:val="20"/>
                <w:szCs w:val="20"/>
              </w:rPr>
            </w:pPr>
            <w:r w:rsidRPr="00D23D72">
              <w:rPr>
                <w:rFonts w:ascii="Verdana" w:hAnsi="Verdana" w:cs="Verdana"/>
                <w:sz w:val="20"/>
                <w:szCs w:val="20"/>
              </w:rPr>
              <w:t>K_1</w:t>
            </w:r>
            <w:r w:rsidR="00A46167" w:rsidRPr="00D23D72">
              <w:rPr>
                <w:rFonts w:ascii="Verdana" w:hAnsi="Verdana" w:cs="Verdana"/>
                <w:sz w:val="20"/>
                <w:szCs w:val="20"/>
              </w:rPr>
              <w:t xml:space="preserve"> Student rozumie konieczność przestrzegania prawnych i etycznych zasad przy gromadzeniu kolekcji naukowych i muzealnych</w:t>
            </w:r>
            <w:r w:rsidR="00D23D72" w:rsidRPr="00D23D72">
              <w:rPr>
                <w:rFonts w:ascii="Verdana" w:hAnsi="Verdana" w:cs="Verdana"/>
                <w:sz w:val="20"/>
                <w:szCs w:val="20"/>
              </w:rPr>
              <w:t>, a jednocześnie dostr</w:t>
            </w:r>
            <w:r w:rsidR="00D23D72">
              <w:rPr>
                <w:rFonts w:ascii="Verdana" w:hAnsi="Verdana" w:cs="Verdana"/>
                <w:sz w:val="20"/>
                <w:szCs w:val="20"/>
              </w:rPr>
              <w:t>z</w:t>
            </w:r>
            <w:r w:rsidR="00D23D72" w:rsidRPr="00D23D72">
              <w:rPr>
                <w:rFonts w:ascii="Verdana" w:hAnsi="Verdana" w:cs="Verdana"/>
                <w:sz w:val="20"/>
                <w:szCs w:val="20"/>
              </w:rPr>
              <w:t>ega wartość naukową, ekonomiczną i edukacyjną kolekcjonowania okazów geologicznych</w:t>
            </w:r>
            <w:r w:rsidRPr="00D23D72">
              <w:rPr>
                <w:rFonts w:ascii="Verdana" w:eastAsia="SimSun" w:hAnsi="Verdana" w:cs="Verdana"/>
                <w:sz w:val="20"/>
                <w:szCs w:val="20"/>
              </w:rPr>
              <w:br/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3CA8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Symbole odpowiednich kierunkowych efektów uczenia się,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K_W01*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07875F0C" w14:textId="5F41D564" w:rsidR="00835231" w:rsidRPr="00D23D72" w:rsidRDefault="00136091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K2_W0</w:t>
            </w:r>
            <w:r w:rsidR="001233EB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3</w:t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, </w:t>
            </w:r>
            <w:r w:rsidR="001233EB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K2_W0</w:t>
            </w:r>
            <w:r w:rsidR="001233EB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6, </w:t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K2_W0</w:t>
            </w:r>
            <w:r w:rsidR="001233EB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8</w:t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</w:p>
          <w:p w14:paraId="5D3E4462" w14:textId="28D452FC" w:rsidR="00136091" w:rsidRPr="00D23D72" w:rsidRDefault="00136091" w:rsidP="00A46167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  <w:t>K2_W10</w:t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="00A46167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K2_U01, </w:t>
            </w:r>
            <w:r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K2_U04, K2_U05</w:t>
            </w:r>
            <w:r w:rsidR="00A46167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="00A46167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="00A46167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</w:r>
            <w:r w:rsidR="00A46167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br/>
              <w:t>K_K03</w:t>
            </w:r>
            <w:r w:rsidR="00D23D72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D23D72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K_K04, K_K07</w:t>
            </w:r>
          </w:p>
        </w:tc>
      </w:tr>
      <w:tr w:rsidR="00D87F40" w:rsidRPr="00D23D72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23D72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867D" w14:textId="77777777" w:rsidR="00D87F40" w:rsidRPr="00D23D72" w:rsidRDefault="00D87F40" w:rsidP="00D23D7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3422115" w14:textId="4EC48E9F" w:rsidR="00F81FD1" w:rsidRPr="00D23D72" w:rsidRDefault="00F81FD1" w:rsidP="00D23D72">
            <w:pPr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* </w:t>
            </w:r>
            <w:r w:rsidRPr="00D23D72">
              <w:rPr>
                <w:rFonts w:ascii="Verdana" w:hAnsi="Verdana"/>
                <w:sz w:val="20"/>
                <w:szCs w:val="20"/>
              </w:rPr>
              <w:t>USTAWA z dnia 9 czerwca 2011 r. Prawo geologiczne i górnicze</w:t>
            </w:r>
          </w:p>
          <w:p w14:paraId="7786B742" w14:textId="65A050C9" w:rsidR="00F81FD1" w:rsidRPr="00D23D72" w:rsidRDefault="00F81FD1" w:rsidP="00D23D72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* </w:t>
            </w:r>
            <w:r w:rsidRPr="00F81FD1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  <w:t>Ustawa z dnia 16 kwietnia 2004 r. o ochronie przyrod</w:t>
            </w:r>
            <w:r w:rsidRPr="00D23D72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  <w:t>y</w:t>
            </w:r>
          </w:p>
          <w:p w14:paraId="58E6291C" w14:textId="0F4460AD" w:rsidR="00F81FD1" w:rsidRPr="00D23D72" w:rsidRDefault="00835231" w:rsidP="00D23D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  <w:t xml:space="preserve">* Wybrane artykuły naukowe z zakresu </w:t>
            </w:r>
            <w:r w:rsidR="00D23D72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  <w:t xml:space="preserve">pobierania i </w:t>
            </w:r>
            <w:r w:rsidRPr="00D23D72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eastAsia="pl-PL"/>
              </w:rPr>
              <w:t>preparatyki skał i skamieniałości</w:t>
            </w:r>
          </w:p>
        </w:tc>
      </w:tr>
      <w:tr w:rsidR="00D87F40" w:rsidRPr="00D23D72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D23D72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 Metody weryfikacji zakładanych efektów uczenia się: </w:t>
            </w:r>
          </w:p>
          <w:p w14:paraId="1CBA64E6" w14:textId="17ADEFF3" w:rsidR="00D87F40" w:rsidRPr="00D23D72" w:rsidRDefault="00835231" w:rsidP="002F77F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hAnsi="Verdana"/>
                <w:sz w:val="20"/>
                <w:szCs w:val="20"/>
              </w:rPr>
              <w:t>Końcowa</w:t>
            </w:r>
            <w:r w:rsidRPr="00D23D7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23D72">
              <w:rPr>
                <w:rFonts w:ascii="Verdana" w:hAnsi="Verdana"/>
                <w:sz w:val="20"/>
                <w:szCs w:val="20"/>
              </w:rPr>
              <w:t>indywidualna</w:t>
            </w:r>
            <w:r w:rsidRPr="00D23D72">
              <w:rPr>
                <w:rFonts w:ascii="Verdana" w:hAnsi="Verdana" w:cs="Arial"/>
                <w:sz w:val="20"/>
                <w:szCs w:val="20"/>
              </w:rPr>
              <w:t xml:space="preserve"> pisemna </w:t>
            </w:r>
            <w:r w:rsidRPr="00D23D72">
              <w:rPr>
                <w:rFonts w:ascii="Verdana" w:hAnsi="Verdana"/>
                <w:sz w:val="20"/>
                <w:szCs w:val="20"/>
              </w:rPr>
              <w:t>praca kontrolna (test):</w:t>
            </w:r>
            <w:r w:rsidR="002F77FD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 K2_W0</w:t>
            </w:r>
            <w:r w:rsidR="002F77FD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3</w:t>
            </w:r>
            <w:r w:rsidR="002F77FD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, K2_W0</w:t>
            </w:r>
            <w:r w:rsidR="002F77FD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 xml:space="preserve">6, </w:t>
            </w:r>
            <w:r w:rsidR="002F77FD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K2_W0</w:t>
            </w:r>
            <w:r w:rsidR="002F77FD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8</w:t>
            </w:r>
            <w:r w:rsidR="00D23D72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, K2_W10, K2_U01, K2_U04, K2_U05, K_K03</w:t>
            </w:r>
            <w:r w:rsidR="00D23D72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="00D23D72" w:rsidRPr="00D23D72">
              <w:rPr>
                <w:rFonts w:ascii="Verdana" w:eastAsia="Times New Roman" w:hAnsi="Verdana" w:cs="Times New Roman"/>
                <w:iCs/>
                <w:sz w:val="20"/>
                <w:szCs w:val="20"/>
                <w:lang w:eastAsia="pl-PL"/>
              </w:rPr>
              <w:t>K_K04, K_K07</w:t>
            </w:r>
          </w:p>
        </w:tc>
      </w:tr>
      <w:tr w:rsidR="00D87F40" w:rsidRPr="00D23D72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23D72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D213A7" w14:textId="27F3F259" w:rsidR="00D87F40" w:rsidRPr="00D23D72" w:rsidRDefault="00835231" w:rsidP="008352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hAnsi="Verdana"/>
                <w:bCs/>
                <w:sz w:val="20"/>
                <w:szCs w:val="20"/>
              </w:rPr>
              <w:t xml:space="preserve">Sprawdzian teoretyczny (kolokwium zaliczeniowe) w postaci testu mieszanego z przewagą pytań otwartych, ocena pozytywna </w:t>
            </w:r>
            <w:r w:rsidRPr="00D23D72">
              <w:rPr>
                <w:rFonts w:ascii="Verdana" w:hAnsi="Verdana" w:cs="Arial"/>
                <w:sz w:val="20"/>
                <w:szCs w:val="20"/>
              </w:rPr>
              <w:t>wymaga</w:t>
            </w:r>
            <w:r w:rsidRPr="00D23D72">
              <w:rPr>
                <w:rFonts w:ascii="Verdana" w:hAnsi="Verdana"/>
                <w:bCs/>
                <w:sz w:val="20"/>
                <w:szCs w:val="20"/>
              </w:rPr>
              <w:t xml:space="preserve">  uzyskania minimum 50 % punktów</w:t>
            </w:r>
            <w:r w:rsidRPr="00D23D72">
              <w:rPr>
                <w:rFonts w:ascii="Verdana" w:hAnsi="Verdana" w:cs="Arial"/>
                <w:sz w:val="20"/>
                <w:szCs w:val="20"/>
              </w:rPr>
              <w:t>;</w:t>
            </w:r>
            <w:r w:rsidRPr="00D23D72">
              <w:rPr>
                <w:rFonts w:ascii="Verdana" w:hAnsi="Verdana"/>
                <w:bCs/>
                <w:sz w:val="20"/>
                <w:szCs w:val="20"/>
              </w:rPr>
              <w:t xml:space="preserve"> o</w:t>
            </w:r>
            <w:r w:rsidRPr="00D23D72">
              <w:rPr>
                <w:rFonts w:ascii="Verdana" w:hAnsi="Verdana" w:cs="Arial"/>
                <w:sz w:val="20"/>
                <w:szCs w:val="20"/>
              </w:rPr>
              <w:t xml:space="preserve">cena według skali ocen z </w:t>
            </w:r>
            <w:r w:rsidRPr="00D23D72">
              <w:rPr>
                <w:rFonts w:ascii="Verdana" w:hAnsi="Verdana"/>
                <w:sz w:val="20"/>
                <w:szCs w:val="20"/>
              </w:rPr>
              <w:t xml:space="preserve">Regulaminu studiów </w:t>
            </w:r>
            <w:proofErr w:type="spellStart"/>
            <w:r w:rsidRPr="00D23D72"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 w:rsidRPr="00D23D7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D87F40" w:rsidRPr="00D23D72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23D72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23D72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23D72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23D72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23D72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F5B9" w14:textId="77777777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zajęcia (wg planu studiów) z prowadzącym: </w:t>
            </w:r>
          </w:p>
          <w:p w14:paraId="35BCF548" w14:textId="0B4D59C4" w:rsidR="00D87F40" w:rsidRPr="00D23D72" w:rsidRDefault="00835231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wykład 20</w:t>
            </w:r>
            <w:r w:rsidR="00D87F4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A61F" w14:textId="0624503F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3523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</w:t>
            </w:r>
          </w:p>
        </w:tc>
      </w:tr>
      <w:tr w:rsidR="00D87F40" w:rsidRPr="00D23D72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23D72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5284C48C" w14:textId="33A64CD1" w:rsidR="00D87F40" w:rsidRPr="00D23D72" w:rsidRDefault="00D87F40" w:rsidP="005802D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czytanie wskazanej literatury: </w:t>
            </w:r>
            <w:r w:rsidR="0083523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</w:t>
            </w:r>
          </w:p>
          <w:p w14:paraId="78BCFF21" w14:textId="3D0E5429" w:rsidR="00D87F40" w:rsidRPr="00D23D72" w:rsidRDefault="00D87F40" w:rsidP="008352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przygotowanie do sprawdzian</w:t>
            </w:r>
            <w:r w:rsidR="0083523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u: 10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48B3B" w14:textId="1C550EC5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3523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16</w:t>
            </w:r>
          </w:p>
        </w:tc>
      </w:tr>
      <w:tr w:rsidR="00D87F40" w:rsidRPr="00D23D72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23D72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41E364B1" w:rsidR="00D87F40" w:rsidRPr="00D23D72" w:rsidRDefault="00D87F40" w:rsidP="00835231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835231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36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h</w:t>
            </w:r>
          </w:p>
        </w:tc>
      </w:tr>
      <w:tr w:rsidR="00D87F40" w:rsidRPr="00D23D72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23D72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23D7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0FFAE50D" w:rsidR="00D87F40" w:rsidRPr="00D23D72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 w:rsidR="00FA03C0" w:rsidRPr="00D23D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</w:tbl>
    <w:p w14:paraId="6A51D7FC" w14:textId="77777777" w:rsidR="00D87F40" w:rsidRPr="00D23D72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23D72" w:rsidRDefault="00D87F40" w:rsidP="00D87F40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23D72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*niepotrzebne usunąć </w:t>
      </w:r>
    </w:p>
    <w:p w14:paraId="6307F62C" w14:textId="77777777" w:rsidR="00D87F40" w:rsidRPr="00D23D72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eastAsia="Times New Roman" w:hAnsi="Verdana" w:cs="Times New Roman"/>
          <w:sz w:val="20"/>
          <w:szCs w:val="20"/>
          <w:lang w:eastAsia="pl-PL"/>
        </w:rPr>
        <w:t>Tabelę należy wypełnić czcionką Verdana, wielkość min 9 max 10, interlinia 1; </w:t>
      </w:r>
    </w:p>
    <w:p w14:paraId="0A15918A" w14:textId="77777777" w:rsidR="0009689A" w:rsidRPr="00D23D72" w:rsidRDefault="00516CBE" w:rsidP="0009689A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23D72">
        <w:rPr>
          <w:rFonts w:ascii="Verdana" w:hAnsi="Verdana"/>
          <w:sz w:val="20"/>
          <w:szCs w:val="20"/>
        </w:rPr>
        <w:t>Prowadzący:</w:t>
      </w:r>
      <w:r w:rsidR="0009689A" w:rsidRPr="00D23D72">
        <w:rPr>
          <w:rFonts w:ascii="Verdana" w:hAnsi="Verdana"/>
          <w:sz w:val="20"/>
          <w:szCs w:val="20"/>
        </w:rPr>
        <w:t xml:space="preserve"> dr Robert Niedźwiedzki</w:t>
      </w:r>
    </w:p>
    <w:p w14:paraId="5C1601DA" w14:textId="7EAB3B79" w:rsidR="00FA03C0" w:rsidRPr="00D23D72" w:rsidRDefault="00FA03C0" w:rsidP="00FA03C0">
      <w:pPr>
        <w:spacing w:before="100" w:beforeAutospacing="1" w:after="100" w:afterAutospacing="1" w:line="240" w:lineRule="auto"/>
        <w:ind w:left="-570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CD4FD5A" w14:textId="56963903" w:rsidR="40760ACE" w:rsidRPr="00D23D72" w:rsidRDefault="40760ACE" w:rsidP="40760ACE">
      <w:pPr>
        <w:rPr>
          <w:rFonts w:ascii="Verdana" w:hAnsi="Verdana"/>
          <w:sz w:val="20"/>
          <w:szCs w:val="20"/>
        </w:rPr>
      </w:pPr>
    </w:p>
    <w:p w14:paraId="6E845BC7" w14:textId="24B0FF98" w:rsidR="40760ACE" w:rsidRPr="00D23D72" w:rsidRDefault="40760ACE" w:rsidP="40760ACE">
      <w:pPr>
        <w:rPr>
          <w:rFonts w:ascii="Verdana" w:hAnsi="Verdana"/>
          <w:sz w:val="20"/>
          <w:szCs w:val="20"/>
        </w:rPr>
      </w:pPr>
    </w:p>
    <w:sectPr w:rsidR="40760ACE" w:rsidRPr="00D23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09689A"/>
    <w:rsid w:val="001233EB"/>
    <w:rsid w:val="00136091"/>
    <w:rsid w:val="00195BB4"/>
    <w:rsid w:val="002F77FD"/>
    <w:rsid w:val="003E4666"/>
    <w:rsid w:val="003E4CC9"/>
    <w:rsid w:val="004379E7"/>
    <w:rsid w:val="004F089A"/>
    <w:rsid w:val="00516CBE"/>
    <w:rsid w:val="00540ABD"/>
    <w:rsid w:val="005802DC"/>
    <w:rsid w:val="005A30CC"/>
    <w:rsid w:val="00711ADD"/>
    <w:rsid w:val="00835231"/>
    <w:rsid w:val="00A322CB"/>
    <w:rsid w:val="00A46167"/>
    <w:rsid w:val="00A50845"/>
    <w:rsid w:val="00C064D5"/>
    <w:rsid w:val="00D23D72"/>
    <w:rsid w:val="00D87F40"/>
    <w:rsid w:val="00F81FD1"/>
    <w:rsid w:val="00FA03C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docId w15:val="{871F4E1B-D2F6-4D12-B466-E482A37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A03C0"/>
  </w:style>
  <w:style w:type="character" w:customStyle="1" w:styleId="Nagwek3Znak">
    <w:name w:val="Nagłówek 3 Znak"/>
    <w:basedOn w:val="Domylnaczcionkaakapitu"/>
    <w:link w:val="Nagwek3"/>
    <w:uiPriority w:val="9"/>
    <w:rsid w:val="00F81F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1FD1"/>
    <w:rPr>
      <w:color w:val="0000FF"/>
      <w:u w:val="single"/>
    </w:rPr>
  </w:style>
  <w:style w:type="character" w:customStyle="1" w:styleId="xword">
    <w:name w:val="x_word"/>
    <w:basedOn w:val="Domylnaczcionkaakapitu"/>
    <w:rsid w:val="00711ADD"/>
  </w:style>
  <w:style w:type="character" w:customStyle="1" w:styleId="output">
    <w:name w:val="output"/>
    <w:basedOn w:val="Domylnaczcionkaakapitu"/>
    <w:rsid w:val="00711ADD"/>
  </w:style>
  <w:style w:type="character" w:customStyle="1" w:styleId="word">
    <w:name w:val="word"/>
    <w:basedOn w:val="Domylnaczcionkaakapitu"/>
    <w:rsid w:val="007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2</cp:revision>
  <cp:lastPrinted>2020-05-22T11:51:00Z</cp:lastPrinted>
  <dcterms:created xsi:type="dcterms:W3CDTF">2022-03-28T08:49:00Z</dcterms:created>
  <dcterms:modified xsi:type="dcterms:W3CDTF">2022-03-28T08:49:00Z</dcterms:modified>
</cp:coreProperties>
</file>