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AB5D9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AB5D9B" w:rsidRDefault="00BF13AF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Geologia regionalna i geologia złóż (A) - ćwiczenia terenowe</w:t>
            </w:r>
            <w:r w:rsidR="00C1673B">
              <w:rPr>
                <w:rFonts w:ascii="Verdana" w:hAnsi="Verdana"/>
                <w:sz w:val="20"/>
                <w:szCs w:val="20"/>
              </w:rPr>
              <w:t>/</w:t>
            </w:r>
            <w:r w:rsidRPr="00AB5D9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5D9B">
              <w:rPr>
                <w:rFonts w:ascii="Verdana" w:hAnsi="Verdana"/>
                <w:bCs/>
                <w:sz w:val="20"/>
                <w:szCs w:val="20"/>
                <w:lang w:val="en-US"/>
              </w:rPr>
              <w:t>Regional and Economic Geology A (field class)</w:t>
            </w:r>
          </w:p>
        </w:tc>
      </w:tr>
      <w:tr w:rsidR="008E7503" w:rsidRPr="00AB5D9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AB5D9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AB5D9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AB5D9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AB5D9B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AB5D9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BF13AF" w:rsidRPr="00AB5D9B">
              <w:rPr>
                <w:rFonts w:ascii="Verdana" w:hAnsi="Verdana"/>
                <w:bCs/>
                <w:sz w:val="20"/>
                <w:szCs w:val="20"/>
              </w:rPr>
              <w:t>Zakład Gospodarki Surowcami Mineralnymi, Zakład Hydrogeologii Stosowanej</w:t>
            </w:r>
          </w:p>
        </w:tc>
      </w:tr>
      <w:tr w:rsidR="008E7503" w:rsidRPr="00AB5D9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AB5D9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AB5D9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AB5D9B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AB5D9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AB5D9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AB5D9B" w:rsidRDefault="00C8307B" w:rsidP="00BF13A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G</w:t>
            </w:r>
            <w:r w:rsidR="00C650FA" w:rsidRPr="00AB5D9B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AB5D9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AB5D9B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AB5D9B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AB5D9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AB5D9B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AB5D9B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AB5D9B" w:rsidRDefault="00BF13AF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AB5D9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AB5D9B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AB5D9B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AB5D9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AB5D9B" w:rsidRDefault="00C8307B" w:rsidP="00AB5D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 xml:space="preserve">Ćwiczenia terenowe: </w:t>
            </w:r>
            <w:r w:rsidR="00BF13AF" w:rsidRPr="00AB5D9B">
              <w:rPr>
                <w:rFonts w:ascii="Verdana" w:hAnsi="Verdana"/>
                <w:sz w:val="20"/>
                <w:szCs w:val="20"/>
              </w:rPr>
              <w:t>72</w:t>
            </w:r>
          </w:p>
          <w:p w:rsidR="008E7503" w:rsidRPr="00AB5D9B" w:rsidRDefault="008E7503" w:rsidP="00AB5D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Metody uczenia się</w:t>
            </w:r>
            <w:r w:rsidR="00AF383D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AB5D9B" w:rsidRDefault="00AF383D" w:rsidP="00AB5D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</w:t>
            </w:r>
            <w:r w:rsidR="00C8307B" w:rsidRPr="00AB5D9B">
              <w:rPr>
                <w:rFonts w:ascii="Verdana" w:hAnsi="Verdana"/>
                <w:sz w:val="20"/>
                <w:szCs w:val="20"/>
              </w:rPr>
              <w:t>wiczenia praktyczne, wykonywanie zadań samodzielnie, wykonywanie zadań w grupie, wykonanie raportów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C8307B" w:rsidRPr="00AB5D9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AB5D9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AB5D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AB5D9B" w:rsidRDefault="00C8307B" w:rsidP="00AB5D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Koordynator:</w:t>
            </w:r>
            <w:r w:rsidR="00BF13AF" w:rsidRPr="00AB5D9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F13AF" w:rsidRPr="00AB5D9B">
              <w:rPr>
                <w:rFonts w:ascii="Verdana" w:hAnsi="Verdana"/>
                <w:bCs/>
                <w:sz w:val="20"/>
                <w:szCs w:val="20"/>
              </w:rPr>
              <w:t xml:space="preserve">dr hab. Antoni </w:t>
            </w:r>
            <w:proofErr w:type="spellStart"/>
            <w:r w:rsidR="00BF13AF" w:rsidRPr="00AB5D9B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</w:p>
          <w:p w:rsidR="008E7503" w:rsidRPr="00AB5D9B" w:rsidRDefault="00C8307B" w:rsidP="00AB5D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BF13AF" w:rsidRPr="00AB5D9B">
              <w:rPr>
                <w:rFonts w:ascii="Verdana" w:hAnsi="Verdana"/>
                <w:bCs/>
                <w:sz w:val="20"/>
                <w:szCs w:val="20"/>
              </w:rPr>
              <w:t xml:space="preserve"> dr hab. Antoni </w:t>
            </w:r>
            <w:proofErr w:type="spellStart"/>
            <w:r w:rsidR="00BF13AF" w:rsidRPr="00AB5D9B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  <w:r w:rsidR="00BF13AF" w:rsidRPr="00AB5D9B">
              <w:rPr>
                <w:rFonts w:ascii="Verdana" w:hAnsi="Verdana"/>
                <w:bCs/>
                <w:sz w:val="20"/>
                <w:szCs w:val="20"/>
              </w:rPr>
              <w:t xml:space="preserve">, dr hab. Henryk Marszałek prof. </w:t>
            </w:r>
            <w:proofErr w:type="spellStart"/>
            <w:r w:rsidR="00BF13AF" w:rsidRPr="00AB5D9B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</w:p>
        </w:tc>
      </w:tr>
      <w:tr w:rsidR="008E7503" w:rsidRPr="00AB5D9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AB5D9B" w:rsidRDefault="00BF13AF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Podstawowa wiedza z zakresu </w:t>
            </w:r>
            <w:r w:rsidR="00AF383D">
              <w:rPr>
                <w:rFonts w:ascii="Verdana" w:hAnsi="Verdana"/>
                <w:bCs/>
                <w:sz w:val="20"/>
                <w:szCs w:val="20"/>
              </w:rPr>
              <w:t>g</w:t>
            </w:r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eologii regionalnej Polski i </w:t>
            </w:r>
            <w:r w:rsidR="00AF383D">
              <w:rPr>
                <w:rFonts w:ascii="Verdana" w:hAnsi="Verdana"/>
                <w:bCs/>
                <w:sz w:val="20"/>
                <w:szCs w:val="20"/>
              </w:rPr>
              <w:t>g</w:t>
            </w:r>
            <w:r w:rsidRPr="00AB5D9B">
              <w:rPr>
                <w:rFonts w:ascii="Verdana" w:hAnsi="Verdana"/>
                <w:bCs/>
                <w:sz w:val="20"/>
                <w:szCs w:val="20"/>
              </w:rPr>
              <w:t>eologii złóż</w:t>
            </w:r>
          </w:p>
        </w:tc>
      </w:tr>
      <w:tr w:rsidR="008E7503" w:rsidRPr="00AB5D9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B5D9B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AB5D9B" w:rsidRDefault="00BF13AF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Podstawowa problematyka geologiczna wybranego regionu. Geneza, formy występowania i metody eksploatacji złóż w wybranym regionie. Ćwiczenia realizowane w Polsce (Karpaty, zapadlisko </w:t>
            </w:r>
            <w:proofErr w:type="spellStart"/>
            <w:r w:rsidRPr="00AB5D9B">
              <w:rPr>
                <w:rFonts w:ascii="Verdana" w:hAnsi="Verdana"/>
                <w:bCs/>
                <w:sz w:val="20"/>
                <w:szCs w:val="20"/>
              </w:rPr>
              <w:t>przedkarpackie</w:t>
            </w:r>
            <w:proofErr w:type="spellEnd"/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) i/lub poza granicami kraju (Czechy, Rosja, Ukraina, </w:t>
            </w:r>
            <w:r w:rsidRPr="00AB5D9B">
              <w:rPr>
                <w:rFonts w:ascii="Verdana" w:hAnsi="Verdana"/>
                <w:bCs/>
                <w:sz w:val="20"/>
                <w:szCs w:val="20"/>
              </w:rPr>
              <w:lastRenderedPageBreak/>
              <w:t>Litwa, Łotwa, Estonia). Szczegółowa problematyka - zależna od miejsca realizacji ćwiczeń.</w:t>
            </w:r>
          </w:p>
        </w:tc>
      </w:tr>
      <w:tr w:rsidR="00BF13AF" w:rsidRPr="00AB5D9B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AF383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AF383D" w:rsidRDefault="00AF383D" w:rsidP="00AF383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terenowe:</w:t>
            </w:r>
          </w:p>
          <w:p w:rsidR="00BF13AF" w:rsidRPr="00AF383D" w:rsidRDefault="00BF13AF" w:rsidP="00AB5D9B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Budowa geologiczna orogenu na przykładzie Karpat:</w:t>
            </w:r>
            <w:r w:rsidR="00AF383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Zapadlisko </w:t>
            </w:r>
            <w:proofErr w:type="spellStart"/>
            <w:r w:rsidRPr="00AB5D9B">
              <w:rPr>
                <w:rFonts w:ascii="Verdana" w:hAnsi="Verdana"/>
                <w:bCs/>
                <w:sz w:val="20"/>
                <w:szCs w:val="20"/>
              </w:rPr>
              <w:t>przedkarpackie</w:t>
            </w:r>
            <w:proofErr w:type="spellEnd"/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, złoża gazu. Karpaty zewnętrzne, złoża ropy i gazu, skansen naftowy w Bóbrce, odsłonięcia serii menilitowych i diatomitów, mineralizacje uranowe rejonu Bezmiechowej. Strefa pienińska budowa geologiczna (wąwóz </w:t>
            </w:r>
            <w:proofErr w:type="spellStart"/>
            <w:r w:rsidRPr="00AB5D9B">
              <w:rPr>
                <w:rFonts w:ascii="Verdana" w:hAnsi="Verdana"/>
                <w:bCs/>
                <w:sz w:val="20"/>
                <w:szCs w:val="20"/>
              </w:rPr>
              <w:t>Homole</w:t>
            </w:r>
            <w:proofErr w:type="spellEnd"/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), andezyty G. </w:t>
            </w:r>
            <w:proofErr w:type="spellStart"/>
            <w:r w:rsidRPr="00AB5D9B">
              <w:rPr>
                <w:rFonts w:ascii="Verdana" w:hAnsi="Verdana"/>
                <w:bCs/>
                <w:sz w:val="20"/>
                <w:szCs w:val="20"/>
              </w:rPr>
              <w:t>Wżar</w:t>
            </w:r>
            <w:proofErr w:type="spellEnd"/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. Karpaty </w:t>
            </w:r>
            <w:r w:rsidR="00AF383D">
              <w:rPr>
                <w:rFonts w:ascii="Verdana" w:hAnsi="Verdana"/>
                <w:bCs/>
                <w:sz w:val="20"/>
                <w:szCs w:val="20"/>
              </w:rPr>
              <w:t>W</w:t>
            </w:r>
            <w:r w:rsidRPr="00AB5D9B">
              <w:rPr>
                <w:rFonts w:ascii="Verdana" w:hAnsi="Verdana"/>
                <w:bCs/>
                <w:sz w:val="20"/>
                <w:szCs w:val="20"/>
              </w:rPr>
              <w:t>ewnętrzne, Tatry.</w:t>
            </w:r>
          </w:p>
          <w:p w:rsidR="00BF13AF" w:rsidRPr="00AF383D" w:rsidRDefault="00BF13AF" w:rsidP="00AB5D9B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AB5D9B">
              <w:rPr>
                <w:rFonts w:ascii="Verdana" w:hAnsi="Verdana"/>
                <w:bCs/>
                <w:sz w:val="20"/>
                <w:szCs w:val="20"/>
              </w:rPr>
              <w:t>Zakarpacie</w:t>
            </w:r>
            <w:proofErr w:type="spellEnd"/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 - (Ukraina, Węgry lub Słowacja) wulkanizm karpacki i jego znaczenie metalogeniczne (metale, perlit).</w:t>
            </w:r>
            <w:r w:rsidRPr="00AB5D9B">
              <w:rPr>
                <w:rFonts w:ascii="Verdana" w:hAnsi="Verdana"/>
                <w:sz w:val="20"/>
                <w:szCs w:val="20"/>
              </w:rPr>
              <w:t xml:space="preserve"> Budowa geologiczna obszaru platformowego na przykładzie płyty podolskiej, platformy scytyjskiej i centralnej części tarczy ukraińskiej, </w:t>
            </w:r>
            <w:r w:rsidR="00AF383D">
              <w:rPr>
                <w:rFonts w:ascii="Verdana" w:hAnsi="Verdana"/>
                <w:sz w:val="20"/>
                <w:szCs w:val="20"/>
              </w:rPr>
              <w:t xml:space="preserve">lub </w:t>
            </w:r>
            <w:proofErr w:type="spellStart"/>
            <w:r w:rsidRPr="00AB5D9B">
              <w:rPr>
                <w:rFonts w:ascii="Verdana" w:hAnsi="Verdana"/>
                <w:sz w:val="20"/>
                <w:szCs w:val="20"/>
              </w:rPr>
              <w:t>fennoskandzkiej</w:t>
            </w:r>
            <w:proofErr w:type="spellEnd"/>
            <w:r w:rsidRPr="00AB5D9B">
              <w:rPr>
                <w:rFonts w:ascii="Verdana" w:hAnsi="Verdana"/>
                <w:sz w:val="20"/>
                <w:szCs w:val="20"/>
              </w:rPr>
              <w:t>:</w:t>
            </w:r>
            <w:r w:rsidR="00AF383D">
              <w:rPr>
                <w:rFonts w:ascii="Verdana" w:hAnsi="Verdana"/>
                <w:sz w:val="20"/>
                <w:szCs w:val="20"/>
              </w:rPr>
              <w:t xml:space="preserve"> o</w:t>
            </w:r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dsłonięcia granitoidów tarczy ukraińskiej rejonu Humania i przełomu Bugu południowego, </w:t>
            </w:r>
            <w:proofErr w:type="spellStart"/>
            <w:r w:rsidRPr="00AB5D9B">
              <w:rPr>
                <w:rFonts w:ascii="Verdana" w:hAnsi="Verdana"/>
                <w:bCs/>
                <w:sz w:val="20"/>
                <w:szCs w:val="20"/>
              </w:rPr>
              <w:t>krzyworoskie</w:t>
            </w:r>
            <w:proofErr w:type="spellEnd"/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 złoża BIF, bazalty Wołynia,  mineralizacje Cu-U </w:t>
            </w:r>
            <w:proofErr w:type="spellStart"/>
            <w:r w:rsidRPr="00AB5D9B">
              <w:rPr>
                <w:rFonts w:ascii="Verdana" w:hAnsi="Verdana"/>
                <w:bCs/>
                <w:sz w:val="20"/>
                <w:szCs w:val="20"/>
              </w:rPr>
              <w:t>Old-Redu</w:t>
            </w:r>
            <w:proofErr w:type="spellEnd"/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, profile syluru, dewonu, kredy i neogenu płyty podolskiej, złoża manganu. Odsłonięcia ukraińskie i </w:t>
            </w:r>
            <w:proofErr w:type="spellStart"/>
            <w:r w:rsidRPr="00AB5D9B">
              <w:rPr>
                <w:rFonts w:ascii="Verdana" w:hAnsi="Verdana"/>
                <w:bCs/>
                <w:sz w:val="20"/>
                <w:szCs w:val="20"/>
              </w:rPr>
              <w:t>przybałtyckie</w:t>
            </w:r>
            <w:proofErr w:type="spellEnd"/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 jako możliwość zapoznania się z litologią skał znanych w Polsce tylko  z wierceń na obszarze platformy wschodnioeuropejskiej.</w:t>
            </w:r>
            <w:r w:rsidR="00AF383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Geologia Rumunii i jej zasoby mineralne: </w:t>
            </w:r>
            <w:r w:rsidR="00AF383D">
              <w:rPr>
                <w:rFonts w:ascii="Verdana" w:hAnsi="Verdana"/>
                <w:bCs/>
                <w:sz w:val="20"/>
                <w:szCs w:val="20"/>
              </w:rPr>
              <w:t>z</w:t>
            </w:r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łoża </w:t>
            </w:r>
            <w:proofErr w:type="spellStart"/>
            <w:r w:rsidRPr="00AB5D9B">
              <w:rPr>
                <w:rFonts w:ascii="Verdana" w:hAnsi="Verdana"/>
                <w:bCs/>
                <w:sz w:val="20"/>
                <w:szCs w:val="20"/>
              </w:rPr>
              <w:t>Rosia</w:t>
            </w:r>
            <w:proofErr w:type="spellEnd"/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B5D9B">
              <w:rPr>
                <w:rFonts w:ascii="Verdana" w:hAnsi="Verdana"/>
                <w:bCs/>
                <w:sz w:val="20"/>
                <w:szCs w:val="20"/>
              </w:rPr>
              <w:t>Monatana</w:t>
            </w:r>
            <w:proofErr w:type="spellEnd"/>
            <w:r w:rsidRPr="00AB5D9B">
              <w:rPr>
                <w:rFonts w:ascii="Verdana" w:hAnsi="Verdana"/>
                <w:bCs/>
                <w:sz w:val="20"/>
                <w:szCs w:val="20"/>
              </w:rPr>
              <w:t>, złoża i odsłonięcia soli w Transylwanii, wody termalne, ropa naftowa i sole kamienne rejonu Suczawy.</w:t>
            </w:r>
            <w:r w:rsidR="00AF383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AB5D9B">
              <w:rPr>
                <w:rFonts w:ascii="Verdana" w:hAnsi="Verdana"/>
                <w:bCs/>
                <w:sz w:val="20"/>
                <w:szCs w:val="20"/>
              </w:rPr>
              <w:t>Kimeryjski orogen Gór Krymskich - kenozoiczne osady Kerczu:</w:t>
            </w:r>
            <w:r w:rsidR="00AF383D">
              <w:rPr>
                <w:rFonts w:ascii="Verdana" w:hAnsi="Verdana"/>
                <w:bCs/>
                <w:sz w:val="20"/>
                <w:szCs w:val="20"/>
              </w:rPr>
              <w:t xml:space="preserve"> r</w:t>
            </w:r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ozwój orogenu G, Krymskich od serii </w:t>
            </w:r>
            <w:proofErr w:type="spellStart"/>
            <w:r w:rsidRPr="00AB5D9B">
              <w:rPr>
                <w:rFonts w:ascii="Verdana" w:hAnsi="Verdana"/>
                <w:bCs/>
                <w:sz w:val="20"/>
                <w:szCs w:val="20"/>
              </w:rPr>
              <w:t>taurydziej</w:t>
            </w:r>
            <w:proofErr w:type="spellEnd"/>
            <w:r w:rsidRPr="00AB5D9B">
              <w:rPr>
                <w:rFonts w:ascii="Verdana" w:hAnsi="Verdana"/>
                <w:bCs/>
                <w:sz w:val="20"/>
                <w:szCs w:val="20"/>
              </w:rPr>
              <w:t xml:space="preserve"> (trias?) po platformę eoceńskich wapieni </w:t>
            </w:r>
            <w:proofErr w:type="spellStart"/>
            <w:r w:rsidRPr="00AB5D9B">
              <w:rPr>
                <w:rFonts w:ascii="Verdana" w:hAnsi="Verdana"/>
                <w:bCs/>
                <w:sz w:val="20"/>
                <w:szCs w:val="20"/>
              </w:rPr>
              <w:t>nummulitowych</w:t>
            </w:r>
            <w:proofErr w:type="spellEnd"/>
            <w:r w:rsidRPr="00AB5D9B">
              <w:rPr>
                <w:rFonts w:ascii="Verdana" w:hAnsi="Verdana"/>
                <w:bCs/>
                <w:sz w:val="20"/>
                <w:szCs w:val="20"/>
              </w:rPr>
              <w:t>. Warunki tworzenia się złóż węglowodorów serii Majkopskiej, wulkanizm błotny, rudy żelaza serii kerczeńskiej, rafy mszywiołowe, współczesne jeziora słone i problemy eksploatacji soli.</w:t>
            </w:r>
          </w:p>
        </w:tc>
      </w:tr>
      <w:tr w:rsidR="00BF13AF" w:rsidRPr="00AB5D9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BF13AF" w:rsidRPr="00AB5D9B" w:rsidRDefault="00BF13AF" w:rsidP="00BF13A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F13AF" w:rsidRDefault="00AB5D9B" w:rsidP="00BF13AF">
            <w:pPr>
              <w:spacing w:after="0" w:line="240" w:lineRule="auto"/>
              <w:ind w:left="-6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W_1</w:t>
            </w:r>
            <w:r w:rsidR="00BF13AF" w:rsidRPr="00AB5D9B">
              <w:rPr>
                <w:rFonts w:ascii="Verdana" w:hAnsi="Verdana"/>
                <w:sz w:val="20"/>
                <w:szCs w:val="20"/>
              </w:rPr>
              <w:t xml:space="preserve"> Zna budowę geologiczną Polski i krajów sąsiednich.</w:t>
            </w:r>
          </w:p>
          <w:p w:rsidR="00AB5D9B" w:rsidRPr="00AB5D9B" w:rsidRDefault="00AB5D9B" w:rsidP="00BF13AF">
            <w:pPr>
              <w:spacing w:after="0" w:line="240" w:lineRule="auto"/>
              <w:ind w:left="-61"/>
              <w:rPr>
                <w:rFonts w:ascii="Verdana" w:hAnsi="Verdana"/>
                <w:sz w:val="20"/>
                <w:szCs w:val="20"/>
              </w:rPr>
            </w:pPr>
          </w:p>
          <w:p w:rsidR="00BF13AF" w:rsidRDefault="00BF13AF" w:rsidP="00BF13AF">
            <w:pPr>
              <w:spacing w:after="0" w:line="240" w:lineRule="auto"/>
              <w:ind w:left="-61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 xml:space="preserve">U_1 Potrafi rozpoznać oznaki procesów </w:t>
            </w:r>
            <w:proofErr w:type="spellStart"/>
            <w:r w:rsidRPr="00AB5D9B">
              <w:rPr>
                <w:rFonts w:ascii="Verdana" w:hAnsi="Verdana"/>
                <w:sz w:val="20"/>
                <w:szCs w:val="20"/>
              </w:rPr>
              <w:t>złożotwórczych</w:t>
            </w:r>
            <w:proofErr w:type="spellEnd"/>
            <w:r w:rsidRPr="00AB5D9B">
              <w:rPr>
                <w:rFonts w:ascii="Verdana" w:hAnsi="Verdana"/>
                <w:sz w:val="20"/>
                <w:szCs w:val="20"/>
              </w:rPr>
              <w:t xml:space="preserve"> w rozmaitych formacjach skalnych</w:t>
            </w:r>
            <w:r w:rsidR="00AF383D">
              <w:rPr>
                <w:rFonts w:ascii="Verdana" w:hAnsi="Verdana"/>
                <w:sz w:val="20"/>
                <w:szCs w:val="20"/>
              </w:rPr>
              <w:t>.</w:t>
            </w:r>
          </w:p>
          <w:p w:rsidR="00AB5D9B" w:rsidRPr="00AB5D9B" w:rsidRDefault="00AB5D9B" w:rsidP="00BF13AF">
            <w:pPr>
              <w:spacing w:after="0" w:line="240" w:lineRule="auto"/>
              <w:ind w:left="-61"/>
              <w:rPr>
                <w:rFonts w:ascii="Verdana" w:hAnsi="Verdana"/>
                <w:sz w:val="20"/>
                <w:szCs w:val="20"/>
              </w:rPr>
            </w:pPr>
          </w:p>
          <w:p w:rsidR="00BF13AF" w:rsidRPr="00AB5D9B" w:rsidRDefault="00AB5D9B" w:rsidP="00BF13A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K_1</w:t>
            </w:r>
            <w:r w:rsidR="00BF13AF" w:rsidRPr="00AB5D9B">
              <w:rPr>
                <w:rFonts w:ascii="Verdana" w:hAnsi="Verdana"/>
                <w:sz w:val="20"/>
                <w:szCs w:val="20"/>
              </w:rPr>
              <w:t xml:space="preserve"> Potrafi określić i zaplanować procedury badawcze różnowiekowych formacji skalnych pod kątem możliwości występowania złóż surowców mineralnych</w:t>
            </w:r>
            <w:r w:rsidR="00AF383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  <w:r w:rsidR="00AF383D">
              <w:rPr>
                <w:rFonts w:ascii="Verdana" w:hAnsi="Verdana"/>
                <w:sz w:val="20"/>
                <w:szCs w:val="20"/>
              </w:rPr>
              <w:t>:</w:t>
            </w:r>
            <w:r w:rsidRPr="00AB5D9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F13AF" w:rsidRPr="00AB5D9B" w:rsidRDefault="00BF13AF" w:rsidP="00BF13A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B5D9B">
              <w:rPr>
                <w:rFonts w:ascii="Verdana" w:hAnsi="Verdana"/>
                <w:bCs/>
                <w:sz w:val="20"/>
                <w:szCs w:val="20"/>
              </w:rPr>
              <w:t>K2_W07</w:t>
            </w:r>
          </w:p>
          <w:p w:rsidR="00BF13AF" w:rsidRDefault="00BF13AF" w:rsidP="00BF13A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B5D9B" w:rsidRPr="00AB5D9B" w:rsidRDefault="00AB5D9B" w:rsidP="00BF13A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13AF" w:rsidRPr="00AB5D9B" w:rsidRDefault="00BF13AF" w:rsidP="00BF13A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B5D9B">
              <w:rPr>
                <w:rFonts w:ascii="Verdana" w:hAnsi="Verdana"/>
                <w:bCs/>
                <w:sz w:val="20"/>
                <w:szCs w:val="20"/>
              </w:rPr>
              <w:t>K2_U01</w:t>
            </w:r>
          </w:p>
          <w:p w:rsidR="00BF13AF" w:rsidRPr="00AB5D9B" w:rsidRDefault="00BF13AF" w:rsidP="00BF13A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13AF" w:rsidRDefault="00BF13AF" w:rsidP="00BF13A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B5D9B" w:rsidRPr="00AB5D9B" w:rsidRDefault="00AB5D9B" w:rsidP="00BF13A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F13AF" w:rsidRPr="00AB5D9B" w:rsidRDefault="00BF13AF" w:rsidP="00BF13A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bCs/>
                <w:sz w:val="20"/>
                <w:szCs w:val="20"/>
              </w:rPr>
              <w:t>K2_K03</w:t>
            </w:r>
          </w:p>
          <w:p w:rsidR="00BF13AF" w:rsidRPr="00AB5D9B" w:rsidRDefault="00BF13AF" w:rsidP="00BF13A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F13AF" w:rsidRPr="00AB5D9B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AF383D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AB5D9B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BF13AF" w:rsidRPr="00AB5D9B" w:rsidRDefault="00BF13AF" w:rsidP="00AF383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BF13AF" w:rsidRPr="00AB5D9B" w:rsidRDefault="00BF13AF" w:rsidP="00AB5D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B5D9B">
              <w:rPr>
                <w:rFonts w:ascii="Verdana" w:hAnsi="Verdana"/>
                <w:sz w:val="20"/>
                <w:szCs w:val="20"/>
              </w:rPr>
              <w:t>Bac-Moszaszwili</w:t>
            </w:r>
            <w:proofErr w:type="spellEnd"/>
            <w:r w:rsidRPr="00AB5D9B">
              <w:rPr>
                <w:rFonts w:ascii="Verdana" w:hAnsi="Verdana"/>
                <w:sz w:val="20"/>
                <w:szCs w:val="20"/>
              </w:rPr>
              <w:t xml:space="preserve"> M., Gąsienica Szostak M., 1990: Tatry polskie. Przewodnik geologiczny dla turystów. Wyd. Geol. Warszawa</w:t>
            </w:r>
          </w:p>
          <w:p w:rsidR="00BF13AF" w:rsidRPr="00AB5D9B" w:rsidRDefault="00BF13AF" w:rsidP="00AB5D9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AB5D9B">
              <w:rPr>
                <w:rFonts w:ascii="Verdana" w:hAnsi="Verdana"/>
                <w:sz w:val="20"/>
                <w:szCs w:val="20"/>
              </w:rPr>
              <w:t>Birkenmajer</w:t>
            </w:r>
            <w:proofErr w:type="spellEnd"/>
            <w:r w:rsidRPr="00AB5D9B">
              <w:rPr>
                <w:rFonts w:ascii="Verdana" w:hAnsi="Verdana"/>
                <w:sz w:val="20"/>
                <w:szCs w:val="20"/>
              </w:rPr>
              <w:t xml:space="preserve"> K., 1979: Przewodnik geologiczny po pienińskim pasie skałkowym. </w:t>
            </w:r>
            <w:r w:rsidRPr="00C1673B">
              <w:rPr>
                <w:rFonts w:ascii="Verdana" w:hAnsi="Verdana"/>
                <w:sz w:val="20"/>
                <w:szCs w:val="20"/>
              </w:rPr>
              <w:t xml:space="preserve">Wyd. Geol. </w:t>
            </w:r>
            <w:r w:rsidRPr="00AB5D9B">
              <w:rPr>
                <w:rFonts w:ascii="Verdana" w:hAnsi="Verdana"/>
                <w:sz w:val="20"/>
                <w:szCs w:val="20"/>
                <w:lang w:val="en-US"/>
              </w:rPr>
              <w:t>Warszawa</w:t>
            </w:r>
          </w:p>
          <w:p w:rsidR="00BF13AF" w:rsidRPr="00AB5D9B" w:rsidRDefault="00BF13AF" w:rsidP="00AB5D9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AB5D9B">
              <w:rPr>
                <w:rFonts w:ascii="Verdana" w:hAnsi="Verdana"/>
                <w:sz w:val="20"/>
                <w:szCs w:val="20"/>
                <w:lang w:val="en-US"/>
              </w:rPr>
              <w:t>Bubniak</w:t>
            </w:r>
            <w:proofErr w:type="spellEnd"/>
            <w:r w:rsidRPr="00AB5D9B">
              <w:rPr>
                <w:rFonts w:ascii="Verdana" w:hAnsi="Verdana"/>
                <w:sz w:val="20"/>
                <w:szCs w:val="20"/>
                <w:lang w:val="en-US"/>
              </w:rPr>
              <w:t xml:space="preserve"> I.M., </w:t>
            </w:r>
            <w:proofErr w:type="spellStart"/>
            <w:r w:rsidRPr="00AB5D9B">
              <w:rPr>
                <w:rFonts w:ascii="Verdana" w:hAnsi="Verdana"/>
                <w:sz w:val="20"/>
                <w:szCs w:val="20"/>
                <w:lang w:val="en-US"/>
              </w:rPr>
              <w:t>Solecki</w:t>
            </w:r>
            <w:proofErr w:type="spellEnd"/>
            <w:r w:rsidRPr="00AB5D9B">
              <w:rPr>
                <w:rFonts w:ascii="Verdana" w:hAnsi="Verdana"/>
                <w:sz w:val="20"/>
                <w:szCs w:val="20"/>
                <w:lang w:val="en-US"/>
              </w:rPr>
              <w:t xml:space="preserve"> A.T., </w:t>
            </w:r>
            <w:proofErr w:type="spellStart"/>
            <w:r w:rsidRPr="00AB5D9B">
              <w:rPr>
                <w:rFonts w:ascii="Verdana" w:hAnsi="Verdana"/>
                <w:sz w:val="20"/>
                <w:szCs w:val="20"/>
                <w:lang w:val="en-US"/>
              </w:rPr>
              <w:t>Śliwiński</w:t>
            </w:r>
            <w:proofErr w:type="spellEnd"/>
            <w:r w:rsidRPr="00AB5D9B">
              <w:rPr>
                <w:rFonts w:ascii="Verdana" w:hAnsi="Verdana"/>
                <w:sz w:val="20"/>
                <w:szCs w:val="20"/>
                <w:lang w:val="en-US"/>
              </w:rPr>
              <w:t xml:space="preserve"> W.R., 2006: </w:t>
            </w:r>
            <w:proofErr w:type="spellStart"/>
            <w:r w:rsidRPr="00AB5D9B">
              <w:rPr>
                <w:rFonts w:ascii="Verdana" w:hAnsi="Verdana"/>
                <w:sz w:val="20"/>
                <w:szCs w:val="20"/>
                <w:lang w:val="en-US"/>
              </w:rPr>
              <w:t>Geoeducational</w:t>
            </w:r>
            <w:proofErr w:type="spellEnd"/>
            <w:r w:rsidRPr="00AB5D9B">
              <w:rPr>
                <w:rFonts w:ascii="Verdana" w:hAnsi="Verdana"/>
                <w:sz w:val="20"/>
                <w:szCs w:val="20"/>
                <w:lang w:val="en-US"/>
              </w:rPr>
              <w:t xml:space="preserve"> potential of southern and southwestern margin of the Ukrainian Craton. </w:t>
            </w:r>
            <w:proofErr w:type="spellStart"/>
            <w:r w:rsidRPr="00AB5D9B">
              <w:rPr>
                <w:rFonts w:ascii="Verdana" w:hAnsi="Verdana"/>
                <w:sz w:val="20"/>
                <w:szCs w:val="20"/>
                <w:lang w:val="en-US"/>
              </w:rPr>
              <w:t>Fundacja</w:t>
            </w:r>
            <w:proofErr w:type="spellEnd"/>
            <w:r w:rsidRPr="00AB5D9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D9B">
              <w:rPr>
                <w:rFonts w:ascii="Verdana" w:hAnsi="Verdana"/>
                <w:sz w:val="20"/>
                <w:szCs w:val="20"/>
                <w:lang w:val="en-US"/>
              </w:rPr>
              <w:t>Ostoja</w:t>
            </w:r>
            <w:proofErr w:type="spellEnd"/>
            <w:r w:rsidRPr="00AB5D9B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B5D9B">
              <w:rPr>
                <w:rFonts w:ascii="Verdana" w:hAnsi="Verdana"/>
                <w:sz w:val="20"/>
                <w:szCs w:val="20"/>
                <w:lang w:val="en-US"/>
              </w:rPr>
              <w:t>Wrocław</w:t>
            </w:r>
            <w:proofErr w:type="spellEnd"/>
          </w:p>
          <w:p w:rsidR="00BF13AF" w:rsidRPr="00AB5D9B" w:rsidRDefault="00BF13AF" w:rsidP="00AB5D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B5D9B">
              <w:rPr>
                <w:rFonts w:ascii="Verdana" w:hAnsi="Verdana"/>
                <w:sz w:val="20"/>
                <w:szCs w:val="20"/>
                <w:lang w:val="en-US"/>
              </w:rPr>
              <w:t>Golonka</w:t>
            </w:r>
            <w:proofErr w:type="spellEnd"/>
            <w:r w:rsidRPr="00AB5D9B">
              <w:rPr>
                <w:rFonts w:ascii="Verdana" w:hAnsi="Verdana"/>
                <w:sz w:val="20"/>
                <w:szCs w:val="20"/>
                <w:lang w:val="en-US"/>
              </w:rPr>
              <w:t xml:space="preserve"> J., 2004: Plate tectonic evolution of the southern margin of Eurasia in the Mesozoic and Cenozoic. </w:t>
            </w:r>
            <w:proofErr w:type="spellStart"/>
            <w:r w:rsidRPr="00AB5D9B">
              <w:rPr>
                <w:rFonts w:ascii="Verdana" w:hAnsi="Verdana"/>
                <w:sz w:val="20"/>
                <w:szCs w:val="20"/>
              </w:rPr>
              <w:t>Tectonophysics</w:t>
            </w:r>
            <w:proofErr w:type="spellEnd"/>
            <w:r w:rsidRPr="00AB5D9B">
              <w:rPr>
                <w:rFonts w:ascii="Verdana" w:hAnsi="Verdana"/>
                <w:sz w:val="20"/>
                <w:szCs w:val="20"/>
              </w:rPr>
              <w:t xml:space="preserve"> 381, p. 235-273</w:t>
            </w:r>
          </w:p>
          <w:p w:rsidR="00BF13AF" w:rsidRPr="00AB5D9B" w:rsidRDefault="00BF13AF" w:rsidP="00AB5D9B">
            <w:pPr>
              <w:spacing w:after="0" w:line="240" w:lineRule="auto"/>
              <w:ind w:right="912"/>
              <w:rPr>
                <w:rFonts w:ascii="Verdana" w:hAnsi="Verdana"/>
                <w:bCs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Kotański Z. 1971: Przewodnik geologiczny po Tatrach. Wyd. Geol. Warszawa</w:t>
            </w:r>
          </w:p>
        </w:tc>
      </w:tr>
      <w:tr w:rsidR="00BF13AF" w:rsidRPr="00AB5D9B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AF383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BF13AF" w:rsidRPr="00AF383D" w:rsidRDefault="00AF383D" w:rsidP="00AF383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BF13AF" w:rsidRPr="00AB5D9B">
              <w:rPr>
                <w:rFonts w:ascii="Verdana" w:hAnsi="Verdana"/>
                <w:sz w:val="20"/>
                <w:szCs w:val="20"/>
              </w:rPr>
              <w:t>Aktywny udział w zajęciach, prowadzenie notatek z obserwacji terenowych, wykonanie sprawozdania z wyjazdu</w:t>
            </w:r>
            <w:r>
              <w:rPr>
                <w:rFonts w:ascii="Verdana" w:hAnsi="Verdana"/>
                <w:sz w:val="20"/>
                <w:szCs w:val="20"/>
              </w:rPr>
              <w:t>: K2_W07, K2_U01, K2_K03.</w:t>
            </w:r>
          </w:p>
        </w:tc>
      </w:tr>
      <w:tr w:rsidR="00BF13AF" w:rsidRPr="00AB5D9B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AB5D9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BF13AF" w:rsidRPr="00AB5D9B" w:rsidRDefault="00BF13AF" w:rsidP="00BF13A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B5D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ciągła kontrola obecności i kontroli postępów w zakresie tematyki zajęć, </w:t>
            </w:r>
          </w:p>
          <w:p w:rsidR="00BF13AF" w:rsidRPr="00AB5D9B" w:rsidRDefault="00BF13AF" w:rsidP="00BF13A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 xml:space="preserve"> - napisanie raportu z zajęć,</w:t>
            </w:r>
          </w:p>
        </w:tc>
      </w:tr>
      <w:tr w:rsidR="00BF13AF" w:rsidRPr="00AB5D9B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BF13AF" w:rsidRPr="00AB5D9B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AF" w:rsidRPr="00AB5D9B" w:rsidRDefault="00BF13AF" w:rsidP="00BF13A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BF13AF" w:rsidRPr="00AB5D9B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AF" w:rsidRPr="00AB5D9B" w:rsidRDefault="00BF13AF" w:rsidP="00BF13A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BF13AF" w:rsidRPr="00AB5D9B" w:rsidRDefault="00BF13AF" w:rsidP="00BF13A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- ćwiczenia terenowe: 72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72</w:t>
            </w:r>
          </w:p>
        </w:tc>
      </w:tr>
      <w:tr w:rsidR="00BF13AF" w:rsidRPr="00AB5D9B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AF" w:rsidRPr="00AB5D9B" w:rsidRDefault="00BF13AF" w:rsidP="00BF13A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praca własna studenta/doktoranta (w tym udział w pracach grupowych):</w:t>
            </w:r>
          </w:p>
          <w:p w:rsidR="00BF13AF" w:rsidRPr="00AB5D9B" w:rsidRDefault="00BF13AF" w:rsidP="00BF13A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 xml:space="preserve">- czytanie wskazanej literatury: </w:t>
            </w:r>
            <w:r w:rsidR="00AF383D">
              <w:rPr>
                <w:rFonts w:ascii="Verdana" w:hAnsi="Verdana"/>
                <w:sz w:val="20"/>
                <w:szCs w:val="20"/>
              </w:rPr>
              <w:t>16</w:t>
            </w:r>
            <w:bookmarkStart w:id="0" w:name="_GoBack"/>
            <w:bookmarkEnd w:id="0"/>
          </w:p>
          <w:p w:rsidR="00BF13AF" w:rsidRPr="00AB5D9B" w:rsidRDefault="00BF13AF" w:rsidP="00BF13A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 xml:space="preserve">- napisanie raportu z zajęć: </w:t>
            </w:r>
            <w:r w:rsidR="00AF383D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3D" w:rsidRDefault="00AF383D" w:rsidP="00BF13A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F13AF" w:rsidRPr="00AB5D9B" w:rsidRDefault="00AF383D" w:rsidP="00BF13A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BF13AF" w:rsidRPr="00AB5D9B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BF13AF" w:rsidRPr="00AB5D9B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AF" w:rsidRPr="00AB5D9B" w:rsidRDefault="00BF13AF" w:rsidP="00BF13A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AF383D" w:rsidP="00BF13A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BF13AF" w:rsidRPr="00AB5D9B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BF13AF" w:rsidRPr="00AB5D9B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AF" w:rsidRPr="00AB5D9B" w:rsidRDefault="00BF13AF" w:rsidP="00BF13A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AF" w:rsidRPr="00AB5D9B" w:rsidRDefault="00BF13AF" w:rsidP="00BF13A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B5D9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7D2D65" w:rsidRDefault="00AF383D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03"/>
    <w:rsid w:val="000539A6"/>
    <w:rsid w:val="004053B5"/>
    <w:rsid w:val="004556E6"/>
    <w:rsid w:val="005B78DB"/>
    <w:rsid w:val="006556AA"/>
    <w:rsid w:val="006A06B2"/>
    <w:rsid w:val="008E7503"/>
    <w:rsid w:val="0099524F"/>
    <w:rsid w:val="00A66E97"/>
    <w:rsid w:val="00AB5D9B"/>
    <w:rsid w:val="00AF383D"/>
    <w:rsid w:val="00BB1CBF"/>
    <w:rsid w:val="00BF13AF"/>
    <w:rsid w:val="00C04E3A"/>
    <w:rsid w:val="00C1673B"/>
    <w:rsid w:val="00C22864"/>
    <w:rsid w:val="00C45F7A"/>
    <w:rsid w:val="00C6323D"/>
    <w:rsid w:val="00C650FA"/>
    <w:rsid w:val="00C8307B"/>
    <w:rsid w:val="00D64DC7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5CCF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Jola</cp:lastModifiedBy>
  <cp:revision>6</cp:revision>
  <dcterms:created xsi:type="dcterms:W3CDTF">2019-04-23T12:42:00Z</dcterms:created>
  <dcterms:modified xsi:type="dcterms:W3CDTF">2019-04-23T15:00:00Z</dcterms:modified>
</cp:coreProperties>
</file>