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6D" w:rsidRPr="00291756" w:rsidRDefault="00F94A6D" w:rsidP="00F94A6D">
      <w:pPr>
        <w:spacing w:after="0" w:line="240" w:lineRule="auto"/>
        <w:ind w:right="283" w:firstLine="6946"/>
        <w:rPr>
          <w:rFonts w:ascii="Verdana" w:hAnsi="Verdana"/>
          <w:sz w:val="16"/>
          <w:szCs w:val="16"/>
          <w:lang w:val="en-GB"/>
        </w:rPr>
      </w:pPr>
      <w:r w:rsidRPr="00291756">
        <w:rPr>
          <w:rFonts w:ascii="Verdana" w:eastAsia="Verdana" w:hAnsi="Verdana" w:cs="Verdana"/>
          <w:sz w:val="16"/>
          <w:szCs w:val="16"/>
          <w:lang w:val="en-GB" w:bidi="en-GB"/>
        </w:rPr>
        <w:t>Annex No. 5</w:t>
      </w:r>
    </w:p>
    <w:p w:rsidR="00F94A6D" w:rsidRPr="00291756" w:rsidRDefault="00F94A6D" w:rsidP="00F94A6D">
      <w:pPr>
        <w:spacing w:after="0" w:line="240" w:lineRule="auto"/>
        <w:ind w:left="6946" w:right="283"/>
        <w:rPr>
          <w:rFonts w:ascii="Verdana" w:hAnsi="Verdana"/>
          <w:sz w:val="16"/>
          <w:szCs w:val="16"/>
          <w:lang w:val="en-GB"/>
        </w:rPr>
      </w:pPr>
      <w:r w:rsidRPr="00291756">
        <w:rPr>
          <w:rFonts w:ascii="Verdana" w:eastAsia="Verdana" w:hAnsi="Verdana" w:cs="Verdana"/>
          <w:sz w:val="16"/>
          <w:szCs w:val="16"/>
          <w:lang w:val="en-GB" w:bidi="en-GB"/>
        </w:rPr>
        <w:t xml:space="preserve">to </w:t>
      </w:r>
      <w:r w:rsidRPr="00291756">
        <w:rPr>
          <w:rFonts w:ascii="Verdana" w:eastAsia="SimSun" w:hAnsi="Verdana" w:cs="Calibri"/>
          <w:kern w:val="3"/>
          <w:sz w:val="16"/>
          <w:szCs w:val="16"/>
          <w:lang w:val="en-GB" w:bidi="en-GB"/>
        </w:rPr>
        <w:t xml:space="preserve">Ordinance No. 21/2019 </w:t>
      </w:r>
    </w:p>
    <w:p w:rsidR="00F94A6D" w:rsidRPr="00291756" w:rsidRDefault="00F94A6D" w:rsidP="00F94A6D">
      <w:pPr>
        <w:spacing w:after="0" w:line="240" w:lineRule="auto"/>
        <w:ind w:firstLine="6946"/>
        <w:rPr>
          <w:rFonts w:ascii="Verdana" w:hAnsi="Verdana"/>
          <w:sz w:val="20"/>
          <w:szCs w:val="20"/>
          <w:lang w:val="en-GB"/>
        </w:rPr>
      </w:pPr>
    </w:p>
    <w:p w:rsidR="00F94A6D" w:rsidRPr="00291756" w:rsidRDefault="00F94A6D" w:rsidP="00F94A6D">
      <w:pPr>
        <w:ind w:left="-426" w:firstLine="284"/>
        <w:jc w:val="center"/>
        <w:rPr>
          <w:rFonts w:ascii="Verdana" w:hAnsi="Verdana"/>
          <w:b/>
          <w:bCs/>
          <w:sz w:val="20"/>
          <w:lang w:val="en-GB"/>
        </w:rPr>
      </w:pPr>
      <w:r w:rsidRPr="00291756">
        <w:rPr>
          <w:rFonts w:ascii="Verdana" w:eastAsia="Verdana" w:hAnsi="Verdana" w:cs="Verdana"/>
          <w:b/>
          <w:sz w:val="20"/>
          <w:lang w:val="en-GB" w:bidi="en-GB"/>
        </w:rPr>
        <w:t>COURSE/MODULE SYLLABUS FOR UNIVERSITY COURSES/PhD STUDIES</w:t>
      </w:r>
    </w:p>
    <w:p w:rsidR="00F94A6D" w:rsidRPr="00291756" w:rsidRDefault="00F94A6D" w:rsidP="00F94A6D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F94A6D" w:rsidRPr="00291756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Course/module name in Polish and English</w:t>
            </w:r>
          </w:p>
          <w:p w:rsidR="00F94A6D" w:rsidRPr="00291756" w:rsidRDefault="00857C70" w:rsidP="0029175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291756">
              <w:rPr>
                <w:rFonts w:ascii="Verdana" w:hAnsi="Verdana"/>
                <w:sz w:val="20"/>
                <w:szCs w:val="20"/>
                <w:lang w:val="en-GB"/>
              </w:rPr>
              <w:t>Regional geology of Poland</w:t>
            </w:r>
            <w:r w:rsidR="00311A89" w:rsidRPr="00291756">
              <w:rPr>
                <w:rFonts w:ascii="Verdana" w:hAnsi="Verdana"/>
                <w:sz w:val="20"/>
                <w:szCs w:val="20"/>
                <w:lang w:val="en-GB"/>
              </w:rPr>
              <w:t>/</w:t>
            </w:r>
            <w:proofErr w:type="spellStart"/>
            <w:r w:rsidR="00311A89" w:rsidRPr="00291756">
              <w:rPr>
                <w:rFonts w:ascii="Verdana" w:hAnsi="Verdana"/>
                <w:sz w:val="20"/>
                <w:szCs w:val="20"/>
                <w:lang w:val="en-GB"/>
              </w:rPr>
              <w:t>Geologia</w:t>
            </w:r>
            <w:proofErr w:type="spellEnd"/>
            <w:r w:rsidR="00311A89" w:rsidRPr="00291756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1A89" w:rsidRPr="00291756">
              <w:rPr>
                <w:rFonts w:ascii="Verdana" w:hAnsi="Verdana"/>
                <w:sz w:val="20"/>
                <w:szCs w:val="20"/>
                <w:lang w:val="en-GB"/>
              </w:rPr>
              <w:t>regionalna</w:t>
            </w:r>
            <w:proofErr w:type="spellEnd"/>
            <w:r w:rsidR="00311A89" w:rsidRPr="00291756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9401D">
              <w:rPr>
                <w:rFonts w:ascii="Verdana" w:hAnsi="Verdana"/>
                <w:sz w:val="20"/>
                <w:szCs w:val="20"/>
                <w:lang w:val="en-GB"/>
              </w:rPr>
              <w:t>Polski</w:t>
            </w:r>
            <w:proofErr w:type="spellEnd"/>
          </w:p>
        </w:tc>
      </w:tr>
      <w:tr w:rsidR="00F94A6D" w:rsidRPr="00291756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Discipline</w:t>
            </w:r>
          </w:p>
          <w:p w:rsidR="00F94A6D" w:rsidRPr="00291756" w:rsidRDefault="008B30F8" w:rsidP="00D65D15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Earth and Environmental Science</w:t>
            </w:r>
          </w:p>
        </w:tc>
      </w:tr>
      <w:tr w:rsidR="00F94A6D" w:rsidRPr="00291756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Language of instruction</w:t>
            </w:r>
          </w:p>
          <w:p w:rsidR="00F94A6D" w:rsidRPr="00291756" w:rsidRDefault="00906AD6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1756">
              <w:rPr>
                <w:rFonts w:ascii="Verdana" w:hAnsi="Verdana"/>
                <w:sz w:val="20"/>
                <w:szCs w:val="20"/>
              </w:rPr>
              <w:t>English</w:t>
            </w:r>
          </w:p>
        </w:tc>
      </w:tr>
      <w:tr w:rsidR="00F94A6D" w:rsidRPr="00DB203C" w:rsidTr="005A6CA6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Teaching unit</w:t>
            </w:r>
          </w:p>
          <w:p w:rsidR="00F94A6D" w:rsidRPr="00291756" w:rsidRDefault="008B30F8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291756">
              <w:rPr>
                <w:rFonts w:ascii="Verdana" w:hAnsi="Verdana"/>
                <w:sz w:val="20"/>
                <w:szCs w:val="20"/>
                <w:lang w:val="en-GB"/>
              </w:rPr>
              <w:t xml:space="preserve">Faculty of Earth Science </w:t>
            </w:r>
            <w:r w:rsidR="00D65D15" w:rsidRPr="00291756">
              <w:rPr>
                <w:rFonts w:ascii="Verdana" w:hAnsi="Verdana"/>
                <w:sz w:val="20"/>
                <w:szCs w:val="20"/>
                <w:lang w:val="en-GB"/>
              </w:rPr>
              <w:t xml:space="preserve">and Environmental Management, </w:t>
            </w:r>
            <w:r w:rsidR="00D65D15" w:rsidRPr="00291756">
              <w:rPr>
                <w:rFonts w:ascii="Verdana" w:hAnsi="Verdana"/>
                <w:sz w:val="20"/>
                <w:szCs w:val="20"/>
                <w:lang w:val="en-US"/>
              </w:rPr>
              <w:t>Institute of Geological Sciences</w:t>
            </w:r>
            <w:r w:rsidR="0094748B" w:rsidRPr="00291756">
              <w:rPr>
                <w:rFonts w:ascii="Verdana" w:hAnsi="Verdana"/>
                <w:sz w:val="20"/>
                <w:szCs w:val="20"/>
                <w:lang w:val="en-US"/>
              </w:rPr>
              <w:t>, Department of Physical Geology</w:t>
            </w:r>
          </w:p>
        </w:tc>
      </w:tr>
      <w:tr w:rsidR="00F94A6D" w:rsidRPr="00291756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Course/module code</w:t>
            </w:r>
          </w:p>
          <w:p w:rsidR="00F94A6D" w:rsidRPr="00291756" w:rsidRDefault="008B30F8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91756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F94A6D" w:rsidRPr="00291756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5A6CA6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Type of course/module </w:t>
            </w:r>
            <w:r w:rsidRPr="00291756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(mandatory or optional)</w:t>
            </w:r>
          </w:p>
          <w:p w:rsidR="00F94A6D" w:rsidRPr="00291756" w:rsidRDefault="00092492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291756">
              <w:rPr>
                <w:rFonts w:ascii="Verdana" w:hAnsi="Verdana"/>
                <w:sz w:val="20"/>
                <w:szCs w:val="20"/>
                <w:lang w:val="en-GB"/>
              </w:rPr>
              <w:t>optional</w:t>
            </w:r>
          </w:p>
        </w:tc>
      </w:tr>
      <w:tr w:rsidR="00F94A6D" w:rsidRPr="00291756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Field of studies (major, if applicable)</w:t>
            </w:r>
          </w:p>
          <w:p w:rsidR="00F94A6D" w:rsidRPr="00291756" w:rsidRDefault="00D65D15" w:rsidP="00FB7710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291756">
              <w:rPr>
                <w:rFonts w:ascii="Verdana" w:hAnsi="Verdana"/>
                <w:sz w:val="20"/>
                <w:szCs w:val="20"/>
                <w:lang w:val="en-US"/>
              </w:rPr>
              <w:t>Geology</w:t>
            </w:r>
          </w:p>
        </w:tc>
      </w:tr>
      <w:tr w:rsidR="00F94A6D" w:rsidRPr="00291756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Level of higher education </w:t>
            </w:r>
            <w:r w:rsidRPr="00291756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(undergraduate (I cycle), Master’s (II cycle), 5 year uniform Master’s studies)</w:t>
            </w:r>
          </w:p>
          <w:p w:rsidR="00F94A6D" w:rsidRPr="00291756" w:rsidRDefault="0070299D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Undergraduate (I cycle)</w:t>
            </w:r>
          </w:p>
        </w:tc>
      </w:tr>
      <w:tr w:rsidR="00F94A6D" w:rsidRPr="00291756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Year of studies </w:t>
            </w:r>
            <w:r w:rsidRPr="00291756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(if applicable</w:t>
            </w: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)</w:t>
            </w:r>
          </w:p>
          <w:p w:rsidR="00F94A6D" w:rsidRPr="00291756" w:rsidRDefault="00CD393A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291756">
              <w:rPr>
                <w:rFonts w:ascii="Verdana" w:hAnsi="Verdana"/>
                <w:sz w:val="20"/>
                <w:szCs w:val="20"/>
                <w:lang w:val="en-GB"/>
              </w:rPr>
              <w:t>I</w:t>
            </w:r>
            <w:r w:rsidR="0070299D" w:rsidRPr="00291756">
              <w:rPr>
                <w:rFonts w:ascii="Verdana" w:hAnsi="Verdana"/>
                <w:sz w:val="20"/>
                <w:szCs w:val="20"/>
                <w:lang w:val="en-GB"/>
              </w:rPr>
              <w:t>II</w:t>
            </w:r>
          </w:p>
        </w:tc>
      </w:tr>
      <w:tr w:rsidR="00F94A6D" w:rsidRPr="00291756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Semester </w:t>
            </w:r>
            <w:r w:rsidRPr="00291756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(winter or summer)</w:t>
            </w:r>
          </w:p>
          <w:p w:rsidR="00F94A6D" w:rsidRPr="00291756" w:rsidRDefault="00D65D15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91756">
              <w:rPr>
                <w:rFonts w:ascii="Verdana" w:hAnsi="Verdana"/>
                <w:sz w:val="20"/>
                <w:szCs w:val="20"/>
              </w:rPr>
              <w:t>summer</w:t>
            </w:r>
            <w:proofErr w:type="spellEnd"/>
          </w:p>
        </w:tc>
      </w:tr>
      <w:tr w:rsidR="00F94A6D" w:rsidRPr="00DB203C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Form of classes and number of hours</w:t>
            </w:r>
          </w:p>
          <w:p w:rsidR="003E69EE" w:rsidRPr="00E52392" w:rsidRDefault="005F01EF" w:rsidP="00F042A5">
            <w:pPr>
              <w:spacing w:after="120" w:line="240" w:lineRule="auto"/>
              <w:rPr>
                <w:rStyle w:val="shorttext"/>
                <w:rFonts w:ascii="Verdana" w:hAnsi="Verdana"/>
                <w:sz w:val="20"/>
                <w:szCs w:val="20"/>
                <w:lang w:val="en-US"/>
              </w:rPr>
            </w:pPr>
            <w:r w:rsidRPr="00E52392">
              <w:rPr>
                <w:rStyle w:val="shorttext"/>
                <w:rFonts w:ascii="Verdana" w:hAnsi="Verdana"/>
                <w:sz w:val="20"/>
                <w:szCs w:val="20"/>
                <w:lang w:val="en-US"/>
              </w:rPr>
              <w:t>Lectures: 3</w:t>
            </w:r>
            <w:r w:rsidR="005C3048" w:rsidRPr="00E52392">
              <w:rPr>
                <w:rStyle w:val="shorttext"/>
                <w:rFonts w:ascii="Verdana" w:hAnsi="Verdana"/>
                <w:sz w:val="20"/>
                <w:szCs w:val="20"/>
                <w:lang w:val="en-US"/>
              </w:rPr>
              <w:t>3</w:t>
            </w:r>
          </w:p>
          <w:p w:rsidR="0094748B" w:rsidRPr="00291756" w:rsidRDefault="0094748B" w:rsidP="0094748B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Teaching methods</w:t>
            </w:r>
          </w:p>
          <w:p w:rsidR="0094748B" w:rsidRPr="00E52392" w:rsidRDefault="0094748B" w:rsidP="0094748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E52392">
              <w:rPr>
                <w:rFonts w:ascii="Verdana" w:hAnsi="Verdana"/>
                <w:sz w:val="20"/>
                <w:szCs w:val="20"/>
                <w:lang w:val="en-US"/>
              </w:rPr>
              <w:t>Multimedia lecture</w:t>
            </w:r>
          </w:p>
        </w:tc>
      </w:tr>
      <w:tr w:rsidR="00F94A6D" w:rsidRPr="00291756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Name, title/degree of the teacher/instructor</w:t>
            </w:r>
          </w:p>
          <w:p w:rsidR="00F94A6D" w:rsidRPr="00291756" w:rsidRDefault="003E69EE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291756">
              <w:rPr>
                <w:rFonts w:ascii="Verdana" w:hAnsi="Verdana"/>
                <w:sz w:val="20"/>
                <w:szCs w:val="20"/>
                <w:lang w:val="en-GB"/>
              </w:rPr>
              <w:t>Coordinator:</w:t>
            </w:r>
            <w:r w:rsidR="00312FB9" w:rsidRPr="00291756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2FB9" w:rsidRPr="00291756">
              <w:rPr>
                <w:rFonts w:ascii="Verdana" w:hAnsi="Verdana"/>
                <w:sz w:val="20"/>
                <w:szCs w:val="20"/>
                <w:lang w:val="en-GB"/>
              </w:rPr>
              <w:t>dr</w:t>
            </w:r>
            <w:proofErr w:type="spellEnd"/>
            <w:r w:rsidR="00312FB9" w:rsidRPr="00291756">
              <w:rPr>
                <w:rFonts w:ascii="Verdana" w:hAnsi="Verdana"/>
                <w:sz w:val="20"/>
                <w:szCs w:val="20"/>
                <w:lang w:val="en-GB"/>
              </w:rPr>
              <w:t xml:space="preserve"> hab. Jacek</w:t>
            </w:r>
            <w:r w:rsidR="00E5239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312FB9" w:rsidRPr="00291756">
              <w:rPr>
                <w:rFonts w:ascii="Verdana" w:hAnsi="Verdana"/>
                <w:sz w:val="20"/>
                <w:szCs w:val="20"/>
                <w:lang w:val="en-GB"/>
              </w:rPr>
              <w:t>Szczepański</w:t>
            </w:r>
            <w:r w:rsidR="0094748B" w:rsidRPr="00291756">
              <w:rPr>
                <w:rFonts w:ascii="Verdana" w:hAnsi="Verdana"/>
                <w:sz w:val="20"/>
                <w:szCs w:val="20"/>
                <w:lang w:val="en-GB"/>
              </w:rPr>
              <w:t xml:space="preserve">, prof </w:t>
            </w:r>
            <w:proofErr w:type="spellStart"/>
            <w:r w:rsidR="0094748B" w:rsidRPr="00291756">
              <w:rPr>
                <w:rFonts w:ascii="Verdana" w:hAnsi="Verdana"/>
                <w:sz w:val="20"/>
                <w:szCs w:val="20"/>
                <w:lang w:val="en-GB"/>
              </w:rPr>
              <w:t>UWr</w:t>
            </w:r>
            <w:proofErr w:type="spellEnd"/>
          </w:p>
          <w:p w:rsidR="003E69EE" w:rsidRPr="00291756" w:rsidRDefault="003E69EE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291756">
              <w:rPr>
                <w:rFonts w:ascii="Verdana" w:hAnsi="Verdana"/>
                <w:sz w:val="20"/>
                <w:szCs w:val="20"/>
                <w:lang w:val="en-GB"/>
              </w:rPr>
              <w:t>Lecturer:</w:t>
            </w:r>
            <w:r w:rsidR="00312FB9" w:rsidRPr="00291756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2FB9" w:rsidRPr="00291756">
              <w:rPr>
                <w:rFonts w:ascii="Verdana" w:hAnsi="Verdana"/>
                <w:sz w:val="20"/>
                <w:szCs w:val="20"/>
                <w:lang w:val="en-GB"/>
              </w:rPr>
              <w:t>dr</w:t>
            </w:r>
            <w:proofErr w:type="spellEnd"/>
            <w:r w:rsidR="00312FB9" w:rsidRPr="00291756">
              <w:rPr>
                <w:rFonts w:ascii="Verdana" w:hAnsi="Verdana"/>
                <w:sz w:val="20"/>
                <w:szCs w:val="20"/>
                <w:lang w:val="en-GB"/>
              </w:rPr>
              <w:t xml:space="preserve"> hab. Jacek</w:t>
            </w:r>
            <w:r w:rsidR="00E5239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312FB9" w:rsidRPr="00291756">
              <w:rPr>
                <w:rFonts w:ascii="Verdana" w:hAnsi="Verdana"/>
                <w:sz w:val="20"/>
                <w:szCs w:val="20"/>
                <w:lang w:val="en-GB"/>
              </w:rPr>
              <w:t>Szczepański</w:t>
            </w:r>
            <w:r w:rsidR="0094748B" w:rsidRPr="00291756">
              <w:rPr>
                <w:rFonts w:ascii="Verdana" w:hAnsi="Verdana"/>
                <w:sz w:val="20"/>
                <w:szCs w:val="20"/>
                <w:lang w:val="en-GB"/>
              </w:rPr>
              <w:t xml:space="preserve">, prof </w:t>
            </w:r>
            <w:proofErr w:type="spellStart"/>
            <w:r w:rsidR="0094748B" w:rsidRPr="00291756">
              <w:rPr>
                <w:rFonts w:ascii="Verdana" w:hAnsi="Verdana"/>
                <w:sz w:val="20"/>
                <w:szCs w:val="20"/>
                <w:lang w:val="en-GB"/>
              </w:rPr>
              <w:t>UWr</w:t>
            </w:r>
            <w:proofErr w:type="spellEnd"/>
          </w:p>
        </w:tc>
      </w:tr>
      <w:tr w:rsidR="00F94A6D" w:rsidRPr="00DB203C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E52392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E52392" w:rsidRDefault="00F94A6D" w:rsidP="005A6CA6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E52392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Course/module prerequisites, in terms of knowledge, skills, social competences </w:t>
            </w:r>
          </w:p>
          <w:p w:rsidR="00F94A6D" w:rsidRPr="00E52392" w:rsidRDefault="001C47EB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E52392">
              <w:rPr>
                <w:rFonts w:ascii="Verdana" w:hAnsi="Verdana"/>
                <w:sz w:val="20"/>
                <w:szCs w:val="20"/>
                <w:lang w:val="en-GB"/>
              </w:rPr>
              <w:t>Knowledge in the field of tectonics, historical and ore geology.</w:t>
            </w:r>
          </w:p>
        </w:tc>
      </w:tr>
      <w:tr w:rsidR="00F94A6D" w:rsidRPr="00DB203C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5A6CA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 objectives</w:t>
            </w:r>
          </w:p>
          <w:p w:rsidR="00F94A6D" w:rsidRPr="00291756" w:rsidRDefault="009239E1" w:rsidP="00B4457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291756">
              <w:rPr>
                <w:rFonts w:ascii="Verdana" w:hAnsi="Verdana"/>
                <w:sz w:val="20"/>
                <w:szCs w:val="20"/>
                <w:lang w:val="en-US"/>
              </w:rPr>
              <w:t xml:space="preserve">Lectures provide background knowledge in the area of regional geology of </w:t>
            </w:r>
            <w:r w:rsidR="00B44575" w:rsidRPr="00291756">
              <w:rPr>
                <w:rFonts w:ascii="Verdana" w:hAnsi="Verdana"/>
                <w:sz w:val="20"/>
                <w:szCs w:val="20"/>
                <w:lang w:val="en-US"/>
              </w:rPr>
              <w:t>Europe.</w:t>
            </w:r>
          </w:p>
        </w:tc>
      </w:tr>
      <w:tr w:rsidR="00F94A6D" w:rsidRPr="00DB203C" w:rsidTr="005A6CA6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91756" w:rsidRDefault="00F94A6D" w:rsidP="005A6CA6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9175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 content</w:t>
            </w:r>
          </w:p>
          <w:p w:rsidR="00F94A6D" w:rsidRPr="00291756" w:rsidRDefault="00C75939" w:rsidP="0077299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91756">
              <w:rPr>
                <w:rFonts w:ascii="Verdana" w:hAnsi="Verdana"/>
                <w:sz w:val="20"/>
                <w:szCs w:val="20"/>
                <w:lang w:val="en-US"/>
              </w:rPr>
              <w:t>Geology and evolution of</w:t>
            </w:r>
            <w:r w:rsidR="00F40082" w:rsidRPr="0029175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132BFF" w:rsidRPr="00291756">
              <w:rPr>
                <w:rFonts w:ascii="Verdana" w:hAnsi="Verdana"/>
                <w:sz w:val="20"/>
                <w:szCs w:val="20"/>
                <w:lang w:val="en-US"/>
              </w:rPr>
              <w:t xml:space="preserve">several </w:t>
            </w:r>
            <w:r w:rsidR="00772993" w:rsidRPr="00291756">
              <w:rPr>
                <w:rFonts w:ascii="Verdana" w:hAnsi="Verdana"/>
                <w:sz w:val="20"/>
                <w:szCs w:val="20"/>
                <w:lang w:val="en-US"/>
              </w:rPr>
              <w:t>units</w:t>
            </w:r>
            <w:r w:rsidR="00132BFF" w:rsidRPr="00291756">
              <w:rPr>
                <w:rFonts w:ascii="Verdana" w:hAnsi="Verdana"/>
                <w:sz w:val="20"/>
                <w:szCs w:val="20"/>
                <w:lang w:val="en-US"/>
              </w:rPr>
              <w:t xml:space="preserve"> are discussed including: </w:t>
            </w:r>
            <w:r w:rsidRPr="0029175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B44575" w:rsidRPr="00291756">
              <w:rPr>
                <w:rFonts w:ascii="Verdana" w:hAnsi="Verdana"/>
                <w:sz w:val="20"/>
                <w:szCs w:val="20"/>
                <w:lang w:val="en-US"/>
              </w:rPr>
              <w:t xml:space="preserve">East European Craton, </w:t>
            </w:r>
            <w:r w:rsidR="00B44575" w:rsidRPr="00291756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 xml:space="preserve">Trans European Suture Zone, German-Polish </w:t>
            </w:r>
            <w:proofErr w:type="spellStart"/>
            <w:r w:rsidR="00B44575" w:rsidRPr="00291756">
              <w:rPr>
                <w:rFonts w:ascii="Verdana" w:hAnsi="Verdana"/>
                <w:sz w:val="20"/>
                <w:szCs w:val="20"/>
                <w:lang w:val="en-US"/>
              </w:rPr>
              <w:t>Caledonides</w:t>
            </w:r>
            <w:proofErr w:type="spellEnd"/>
            <w:r w:rsidR="00B44575" w:rsidRPr="00291756">
              <w:rPr>
                <w:rFonts w:ascii="Verdana" w:hAnsi="Verdana"/>
                <w:sz w:val="20"/>
                <w:szCs w:val="20"/>
                <w:lang w:val="en-US"/>
              </w:rPr>
              <w:t xml:space="preserve">, Holy Cross Mts., German-Polish Basin, Carpathians, Cenozoic volcanism in Europe, Central European </w:t>
            </w:r>
            <w:proofErr w:type="spellStart"/>
            <w:r w:rsidR="00B44575" w:rsidRPr="00291756">
              <w:rPr>
                <w:rFonts w:ascii="Verdana" w:hAnsi="Verdana"/>
                <w:sz w:val="20"/>
                <w:szCs w:val="20"/>
                <w:lang w:val="en-US"/>
              </w:rPr>
              <w:t>Variscan</w:t>
            </w:r>
            <w:proofErr w:type="spellEnd"/>
            <w:r w:rsidR="00B44575" w:rsidRPr="00291756">
              <w:rPr>
                <w:rFonts w:ascii="Verdana" w:hAnsi="Verdana"/>
                <w:sz w:val="20"/>
                <w:szCs w:val="20"/>
                <w:lang w:val="en-US"/>
              </w:rPr>
              <w:t xml:space="preserve"> Belt (CEVB) with emphasis put on Sudetes Mts. and traces of </w:t>
            </w:r>
            <w:proofErr w:type="spellStart"/>
            <w:r w:rsidR="00B44575" w:rsidRPr="00291756">
              <w:rPr>
                <w:rFonts w:ascii="Verdana" w:hAnsi="Verdana"/>
                <w:sz w:val="20"/>
                <w:szCs w:val="20"/>
                <w:lang w:val="en-US"/>
              </w:rPr>
              <w:t>Cadomian</w:t>
            </w:r>
            <w:proofErr w:type="spellEnd"/>
            <w:r w:rsidR="00B44575" w:rsidRPr="00291756">
              <w:rPr>
                <w:rFonts w:ascii="Verdana" w:hAnsi="Verdana"/>
                <w:sz w:val="20"/>
                <w:szCs w:val="20"/>
                <w:lang w:val="en-US"/>
              </w:rPr>
              <w:t xml:space="preserve"> basement preserved within CEVB. Presented are also geodynamic models describing the evolution of rock complexes cropping out in Europe.</w:t>
            </w:r>
          </w:p>
        </w:tc>
      </w:tr>
      <w:tr w:rsidR="00F94A6D" w:rsidRPr="00291756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B5000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B5000" w:rsidRDefault="00F94A6D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Intended learning outcomes </w:t>
            </w:r>
          </w:p>
          <w:p w:rsidR="00936E68" w:rsidRPr="002B5000" w:rsidRDefault="00936E68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</w:p>
          <w:p w:rsidR="00936E68" w:rsidRPr="002B5000" w:rsidRDefault="00311A89" w:rsidP="00936E68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W_1</w:t>
            </w:r>
            <w:r w:rsidR="00936E68"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Ha</w:t>
            </w:r>
            <w:r w:rsidR="00345C87" w:rsidRPr="002B5000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936E68"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knowledge in the field of geology of Poland as a part of Central Europe with emphasis on Lower Silesia.</w:t>
            </w:r>
          </w:p>
          <w:p w:rsidR="00936E68" w:rsidRPr="002B5000" w:rsidRDefault="005C3048" w:rsidP="00936E68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U_1</w:t>
            </w:r>
            <w:r w:rsidR="00F13B67"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11A89" w:rsidRPr="002B5000"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="004D0578" w:rsidRPr="002B5000">
              <w:rPr>
                <w:rFonts w:ascii="Verdana" w:hAnsi="Verdana"/>
                <w:sz w:val="20"/>
                <w:szCs w:val="20"/>
                <w:lang w:val="en-US"/>
              </w:rPr>
              <w:t>an</w:t>
            </w:r>
            <w:r w:rsidR="00936E68"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identify on geolog</w:t>
            </w:r>
            <w:r w:rsidR="00772993" w:rsidRPr="002B5000">
              <w:rPr>
                <w:rFonts w:ascii="Verdana" w:hAnsi="Verdana"/>
                <w:sz w:val="20"/>
                <w:szCs w:val="20"/>
                <w:lang w:val="en-US"/>
              </w:rPr>
              <w:t>ical map of Poland and describe</w:t>
            </w:r>
            <w:r w:rsidR="00936E68"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important fragments of crystalline basement, </w:t>
            </w:r>
            <w:proofErr w:type="spellStart"/>
            <w:r w:rsidR="00936E68" w:rsidRPr="002B5000">
              <w:rPr>
                <w:rFonts w:ascii="Verdana" w:hAnsi="Verdana"/>
                <w:sz w:val="20"/>
                <w:szCs w:val="20"/>
                <w:lang w:val="en-US"/>
              </w:rPr>
              <w:t>Permo</w:t>
            </w:r>
            <w:proofErr w:type="spellEnd"/>
            <w:r w:rsidR="00936E68"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-Mesozoic and Cenozoic cover as well as Mesozoic and Cenozoic </w:t>
            </w:r>
            <w:proofErr w:type="spellStart"/>
            <w:r w:rsidR="00936E68" w:rsidRPr="002B5000">
              <w:rPr>
                <w:rFonts w:ascii="Verdana" w:hAnsi="Verdana"/>
                <w:sz w:val="20"/>
                <w:szCs w:val="20"/>
                <w:lang w:val="en-US"/>
              </w:rPr>
              <w:t>volcanics</w:t>
            </w:r>
            <w:proofErr w:type="spellEnd"/>
            <w:r w:rsidR="00936E68"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of Central European Volcanic Province.</w:t>
            </w:r>
          </w:p>
          <w:p w:rsidR="00936E68" w:rsidRPr="002B5000" w:rsidRDefault="005C3048" w:rsidP="00936E68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U_2</w:t>
            </w:r>
            <w:r w:rsidR="00936E68"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11A89" w:rsidRPr="002B5000"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="00936E68" w:rsidRPr="002B5000">
              <w:rPr>
                <w:rFonts w:ascii="Verdana" w:hAnsi="Verdana"/>
                <w:sz w:val="20"/>
                <w:szCs w:val="20"/>
                <w:lang w:val="en-US"/>
              </w:rPr>
              <w:t>ritically evaluate the presented data and is able to draw conclusions on the basis of data derived from different sources.</w:t>
            </w:r>
          </w:p>
          <w:p w:rsidR="002B5000" w:rsidRPr="002B5000" w:rsidRDefault="005C3048" w:rsidP="002B5000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U_3</w:t>
            </w:r>
            <w:r w:rsidR="00936E68"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11A89" w:rsidRPr="002B5000">
              <w:rPr>
                <w:rFonts w:ascii="Verdana" w:hAnsi="Verdana"/>
                <w:sz w:val="20"/>
                <w:szCs w:val="20"/>
                <w:lang w:val="en-US"/>
              </w:rPr>
              <w:t>R</w:t>
            </w:r>
            <w:r w:rsidR="00936E68" w:rsidRPr="002B5000">
              <w:rPr>
                <w:rFonts w:ascii="Verdana" w:hAnsi="Verdana"/>
                <w:sz w:val="20"/>
                <w:szCs w:val="20"/>
                <w:lang w:val="en-US"/>
              </w:rPr>
              <w:t>ead professional literature in English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B5000" w:rsidRDefault="00F94A6D" w:rsidP="005A6CA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Symbols of learning outcomes fo</w:t>
            </w:r>
            <w:r w:rsidR="00551B2F"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r particular fields of studies,</w:t>
            </w:r>
            <w:r w:rsidR="00551B2F"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br/>
            </w:r>
          </w:p>
          <w:p w:rsidR="00716C48" w:rsidRPr="002B5000" w:rsidRDefault="00716C48" w:rsidP="00716C48">
            <w:pPr>
              <w:rPr>
                <w:bCs/>
              </w:rPr>
            </w:pPr>
            <w:r w:rsidRPr="002B5000">
              <w:rPr>
                <w:bCs/>
              </w:rPr>
              <w:t>K1_W06</w:t>
            </w:r>
          </w:p>
          <w:p w:rsidR="00716C48" w:rsidRPr="002B5000" w:rsidRDefault="00716C48" w:rsidP="00716C48">
            <w:pPr>
              <w:rPr>
                <w:bCs/>
              </w:rPr>
            </w:pPr>
            <w:r w:rsidRPr="002B5000">
              <w:rPr>
                <w:bCs/>
              </w:rPr>
              <w:br/>
              <w:t>K1_U06</w:t>
            </w:r>
          </w:p>
          <w:p w:rsidR="00716C48" w:rsidRPr="002B5000" w:rsidRDefault="00716C48" w:rsidP="00716C48">
            <w:pPr>
              <w:rPr>
                <w:bCs/>
              </w:rPr>
            </w:pPr>
          </w:p>
          <w:p w:rsidR="00291756" w:rsidRPr="002B5000" w:rsidRDefault="00291756" w:rsidP="00716C48">
            <w:pPr>
              <w:rPr>
                <w:bCs/>
              </w:rPr>
            </w:pPr>
          </w:p>
          <w:p w:rsidR="00716C48" w:rsidRPr="002B5000" w:rsidRDefault="00716C48" w:rsidP="00716C48">
            <w:pPr>
              <w:rPr>
                <w:bCs/>
              </w:rPr>
            </w:pPr>
            <w:r w:rsidRPr="002B5000">
              <w:rPr>
                <w:bCs/>
              </w:rPr>
              <w:br/>
              <w:t>K1_U13</w:t>
            </w:r>
          </w:p>
          <w:p w:rsidR="00716C48" w:rsidRPr="002B5000" w:rsidRDefault="00716C48" w:rsidP="00716C48">
            <w:pPr>
              <w:rPr>
                <w:bCs/>
              </w:rPr>
            </w:pPr>
          </w:p>
          <w:p w:rsidR="00291756" w:rsidRPr="00E52392" w:rsidRDefault="00716C48" w:rsidP="00E52392">
            <w:pPr>
              <w:spacing w:before="360" w:after="120" w:line="240" w:lineRule="auto"/>
              <w:rPr>
                <w:bCs/>
              </w:rPr>
            </w:pPr>
            <w:r w:rsidRPr="002B5000">
              <w:rPr>
                <w:bCs/>
              </w:rPr>
              <w:t>K1_U11</w:t>
            </w:r>
          </w:p>
        </w:tc>
      </w:tr>
      <w:tr w:rsidR="00F94A6D" w:rsidRPr="00DB203C" w:rsidTr="005A6CA6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B5000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B5000" w:rsidRDefault="00F94A6D" w:rsidP="005A6CA6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Required and recommended reading </w:t>
            </w:r>
            <w:r w:rsidRPr="002B5000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(sources, studies, manuals, etc.)</w:t>
            </w:r>
          </w:p>
          <w:p w:rsidR="00F94A6D" w:rsidRDefault="003E69EE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Required reading</w:t>
            </w:r>
            <w:r w:rsidR="002B5000"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:</w:t>
            </w:r>
          </w:p>
          <w:p w:rsidR="000969EC" w:rsidRDefault="00DB203C" w:rsidP="000969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Narkiewicz (2021) </w:t>
            </w:r>
            <w:r w:rsidRPr="0062778B">
              <w:rPr>
                <w:rFonts w:ascii="Verdana" w:hAnsi="Verdana"/>
                <w:sz w:val="20"/>
                <w:szCs w:val="20"/>
              </w:rPr>
              <w:t>Geologiczna historia Polski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62778B">
              <w:rPr>
                <w:rFonts w:ascii="Verdana" w:hAnsi="Verdana"/>
                <w:sz w:val="20"/>
                <w:szCs w:val="20"/>
              </w:rPr>
              <w:t>Wydawnictwa Uniwersytetu Warszawskiego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4C190F" w:rsidRPr="002B5000" w:rsidRDefault="004C190F" w:rsidP="000969EC">
            <w:pPr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2B5000">
              <w:rPr>
                <w:rFonts w:ascii="Verdana" w:hAnsi="Verdana"/>
                <w:sz w:val="20"/>
                <w:szCs w:val="20"/>
                <w:lang w:val="en-GB"/>
              </w:rPr>
              <w:t xml:space="preserve">McCann, T. (ed.) 2008. </w:t>
            </w:r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The Geology of Central Europe, Volumes 1 and 2. Volume 1: Precambrian and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Palaeozoic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; Volume 2: Mesozoic and Cenozoic</w:t>
            </w:r>
          </w:p>
          <w:p w:rsidR="004C190F" w:rsidRPr="002B5000" w:rsidRDefault="004C190F" w:rsidP="0047210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2B5000">
              <w:rPr>
                <w:rFonts w:ascii="Verdana" w:hAnsi="Verdana"/>
                <w:sz w:val="20"/>
                <w:szCs w:val="20"/>
                <w:lang w:val="en-GB"/>
              </w:rPr>
              <w:t xml:space="preserve">Mazur, S.,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GB"/>
              </w:rPr>
              <w:t>Aleksandrowski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GB"/>
              </w:rPr>
              <w:t xml:space="preserve">, P.,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GB"/>
              </w:rPr>
              <w:t>Kryza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GB"/>
              </w:rPr>
              <w:t xml:space="preserve">, R. &amp;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GB"/>
              </w:rPr>
              <w:t>Oberc-Dziedzic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GB"/>
              </w:rPr>
              <w:t xml:space="preserve">, T., 2006. </w:t>
            </w:r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Variscan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Orogen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in Poland.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GB"/>
              </w:rPr>
              <w:t>Geogical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GB"/>
              </w:rPr>
              <w:t xml:space="preserve"> Quarterly, 50(1), 89-118.</w:t>
            </w:r>
          </w:p>
          <w:p w:rsidR="002B5000" w:rsidRPr="002B5000" w:rsidRDefault="002B5000" w:rsidP="0047210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3E69EE" w:rsidRPr="002B5000" w:rsidRDefault="003E69EE" w:rsidP="0047210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Recommended reading</w:t>
            </w:r>
            <w:r w:rsidR="002B5000"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:</w:t>
            </w:r>
          </w:p>
          <w:p w:rsidR="004C190F" w:rsidRPr="002B5000" w:rsidRDefault="004C190F" w:rsidP="0047210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Mazur S,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Aleksandrowski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P, Szczepański J. 2010. </w:t>
            </w:r>
            <w:r w:rsidRPr="002B5000">
              <w:rPr>
                <w:rFonts w:ascii="Verdana" w:hAnsi="Verdana"/>
                <w:sz w:val="20"/>
                <w:szCs w:val="20"/>
              </w:rPr>
              <w:t xml:space="preserve">Zarys budowy i ewolucji tektonicznej waryscyjskiej struktury Sudetów. </w:t>
            </w:r>
            <w:r w:rsidRPr="002B5000">
              <w:rPr>
                <w:rFonts w:ascii="Verdana" w:hAnsi="Verdana"/>
                <w:i/>
                <w:iCs/>
                <w:sz w:val="20"/>
                <w:szCs w:val="20"/>
              </w:rPr>
              <w:t xml:space="preserve">Przegląd Geologiczny </w:t>
            </w:r>
            <w:r w:rsidRPr="002B5000">
              <w:rPr>
                <w:rFonts w:ascii="Verdana" w:hAnsi="Verdana"/>
                <w:sz w:val="20"/>
                <w:szCs w:val="20"/>
              </w:rPr>
              <w:t>58(2):133–145.</w:t>
            </w:r>
          </w:p>
          <w:p w:rsidR="004C190F" w:rsidRPr="002B5000" w:rsidRDefault="004C190F" w:rsidP="004721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B5000">
              <w:rPr>
                <w:rFonts w:ascii="Verdana" w:hAnsi="Verdana"/>
                <w:sz w:val="20"/>
                <w:szCs w:val="20"/>
              </w:rPr>
              <w:t>Regionalizacja tektoniczna Polski 2008. Zbiór artykułów. Przegląd Geologiczny, 56: 887-938.</w:t>
            </w:r>
          </w:p>
          <w:p w:rsidR="004C190F" w:rsidRPr="002B5000" w:rsidRDefault="004C190F" w:rsidP="004721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B5000">
              <w:rPr>
                <w:rFonts w:ascii="Verdana" w:hAnsi="Verdana"/>
                <w:sz w:val="20"/>
                <w:szCs w:val="20"/>
              </w:rPr>
              <w:t>Żelaźniewicz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</w:rPr>
              <w:t>, A., 2005. Zarys geologii Dolnego Śląska. W: Fabiszewski, J. (Ed) Przyroda Dolnego Śląska. Polska Akademia Nauk. Oddział we Wrocławiu: 70-134.</w:t>
            </w:r>
          </w:p>
          <w:p w:rsidR="004C190F" w:rsidRPr="002B5000" w:rsidRDefault="004C190F" w:rsidP="00472101">
            <w:pPr>
              <w:pStyle w:val="Bibliografia"/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2B5000">
              <w:rPr>
                <w:rFonts w:ascii="Verdana" w:hAnsi="Verdana"/>
                <w:sz w:val="20"/>
                <w:szCs w:val="20"/>
              </w:rPr>
              <w:t xml:space="preserve">Chopin, F., K.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</w:rPr>
              <w:t>Schulmann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</w:rPr>
              <w:t xml:space="preserve">, E. Skrzypek, J. Lehmann, J. R.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</w:rPr>
              <w:t>Dujardin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</w:rPr>
              <w:t xml:space="preserve">, J. E.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</w:rPr>
              <w:t>Martelat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</w:rPr>
              <w:t xml:space="preserve">, O.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</w:rPr>
              <w:t>Lexa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</w:rPr>
              <w:t xml:space="preserve">, 2012. </w:t>
            </w:r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Crustal influx, indentation, ductile thinning and gravity redistribution in a continental wedge: Building a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Moldanubian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mantled gneiss dome with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underthrust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Saxothuringian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material (European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Variscan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belt). Tectonics 31, nr 1. doi:10.1029/2011TC002951.</w:t>
            </w:r>
          </w:p>
          <w:p w:rsidR="0094748B" w:rsidRPr="002B5000" w:rsidRDefault="004C190F" w:rsidP="002B500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Schulmann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, K,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Konopásek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J, Janousek V, Lexa O,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Lardeaux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JM,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Edel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JB,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Stípská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P,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Ulrich S. 2009. An Andean type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Palaeozoic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convergence in the Bohemian Massif.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Comptes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>Rendus</w:t>
            </w:r>
            <w:proofErr w:type="spellEnd"/>
            <w:r w:rsidRPr="002B5000">
              <w:rPr>
                <w:rFonts w:ascii="Verdana" w:hAnsi="Verdana"/>
                <w:sz w:val="20"/>
                <w:szCs w:val="20"/>
                <w:lang w:val="en-US"/>
              </w:rPr>
              <w:t xml:space="preserve"> Geosciences 341, nr 2–3: 266–286.</w:t>
            </w:r>
          </w:p>
        </w:tc>
      </w:tr>
      <w:tr w:rsidR="00F94A6D" w:rsidRPr="00291756" w:rsidTr="005A6CA6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B5000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B5000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 Assessment methods for the intended learning outcomes:</w:t>
            </w:r>
          </w:p>
          <w:p w:rsidR="00F94A6D" w:rsidRPr="002B5000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F94A6D" w:rsidRPr="002B5000" w:rsidRDefault="00F94A6D" w:rsidP="00C64D6D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- </w:t>
            </w:r>
            <w:r w:rsidR="00C64D6D"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written examination</w:t>
            </w:r>
            <w:r w:rsidR="00311A89"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K1_W06, K1_U06, </w:t>
            </w:r>
            <w:r w:rsidR="00C10F4E"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K1_U11</w:t>
            </w:r>
            <w:r w:rsidR="00C10F4E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, K1_U13</w:t>
            </w:r>
          </w:p>
          <w:p w:rsidR="00C64D6D" w:rsidRPr="002B5000" w:rsidRDefault="00C64D6D" w:rsidP="00C64D6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F94A6D" w:rsidRPr="00DB203C" w:rsidTr="005A6CA6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B5000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2B5000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Credit requirements for individual components of the course/module:</w:t>
            </w:r>
          </w:p>
          <w:p w:rsidR="00F94A6D" w:rsidRPr="002B5000" w:rsidRDefault="00F94A6D" w:rsidP="002B500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lastRenderedPageBreak/>
              <w:t>-</w:t>
            </w:r>
            <w:r w:rsidR="00A665B3"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written</w:t>
            </w: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exam (</w:t>
            </w:r>
            <w:r w:rsidR="00A665B3"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positive result - 50% of total points).</w:t>
            </w:r>
          </w:p>
        </w:tc>
      </w:tr>
      <w:tr w:rsidR="00DA3967" w:rsidRPr="002B5000" w:rsidTr="0074629C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967" w:rsidRPr="002B5000" w:rsidRDefault="00DA3967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7" w:rsidRPr="002B5000" w:rsidRDefault="00DA3967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Total student effort</w:t>
            </w:r>
          </w:p>
        </w:tc>
      </w:tr>
      <w:tr w:rsidR="00DA3967" w:rsidRPr="00DB203C" w:rsidTr="0074629C">
        <w:trPr>
          <w:trHeight w:val="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67" w:rsidRPr="002B5000" w:rsidRDefault="00DA3967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7" w:rsidRPr="002B5000" w:rsidRDefault="00DA3967" w:rsidP="005A6CA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form of student activities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7" w:rsidRPr="002B5000" w:rsidRDefault="00DA3967" w:rsidP="005A6CA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number of hours for the implementation of activities</w:t>
            </w:r>
          </w:p>
        </w:tc>
      </w:tr>
      <w:tr w:rsidR="00DA3967" w:rsidRPr="002B5000" w:rsidTr="00472101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67" w:rsidRPr="002B5000" w:rsidRDefault="00DA3967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7" w:rsidRPr="002B5000" w:rsidRDefault="00DA3967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classes (according to the plan of studies) with a teacher/instructor:</w:t>
            </w:r>
          </w:p>
          <w:p w:rsidR="00DA3967" w:rsidRPr="002B5000" w:rsidRDefault="00DA3967" w:rsidP="005A6CA6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lectures:</w:t>
            </w:r>
            <w:r w:rsidR="005C3048"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33</w:t>
            </w:r>
          </w:p>
          <w:p w:rsidR="002B5000" w:rsidRPr="002B5000" w:rsidRDefault="002B5000" w:rsidP="005A6CA6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consultations: 5</w:t>
            </w:r>
          </w:p>
          <w:p w:rsidR="002B5000" w:rsidRPr="002B5000" w:rsidRDefault="002B5000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exam: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67" w:rsidRPr="002B5000" w:rsidRDefault="002B5000" w:rsidP="0047210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2B5000">
              <w:rPr>
                <w:rFonts w:ascii="Verdana" w:hAnsi="Verdana"/>
                <w:sz w:val="20"/>
                <w:szCs w:val="20"/>
                <w:lang w:val="en-GB"/>
              </w:rPr>
              <w:t>40</w:t>
            </w:r>
          </w:p>
        </w:tc>
      </w:tr>
      <w:tr w:rsidR="00362DED" w:rsidRPr="002B5000" w:rsidTr="002B5000">
        <w:trPr>
          <w:trHeight w:val="11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ED" w:rsidRPr="002B5000" w:rsidRDefault="00362DE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ED" w:rsidRPr="002B5000" w:rsidRDefault="00362DED" w:rsidP="005A6C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student's own work (including group-work) such as:</w:t>
            </w:r>
          </w:p>
          <w:p w:rsidR="00362DED" w:rsidRPr="002B5000" w:rsidRDefault="00362DED" w:rsidP="005A6C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being prepared for classes:</w:t>
            </w:r>
            <w:r w:rsidR="0094748B"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10</w:t>
            </w:r>
          </w:p>
          <w:p w:rsidR="00362DED" w:rsidRPr="002B5000" w:rsidRDefault="00362DED" w:rsidP="00DA396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reading the suggested literature: 1</w:t>
            </w:r>
            <w:r w:rsidR="002B5000"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2</w:t>
            </w:r>
          </w:p>
          <w:p w:rsidR="00362DED" w:rsidRPr="002B5000" w:rsidRDefault="00362DED" w:rsidP="00E5239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- preparing for exam: </w:t>
            </w:r>
            <w:r w:rsidR="002B5000"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16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ED" w:rsidRPr="002B5000" w:rsidRDefault="002B5000" w:rsidP="0047210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2B5000">
              <w:rPr>
                <w:rFonts w:ascii="Verdana" w:hAnsi="Verdana"/>
                <w:sz w:val="20"/>
                <w:szCs w:val="20"/>
                <w:lang w:val="en-GB"/>
              </w:rPr>
              <w:t>38</w:t>
            </w:r>
          </w:p>
        </w:tc>
      </w:tr>
      <w:tr w:rsidR="00DA3967" w:rsidRPr="002B5000" w:rsidTr="00472101">
        <w:trPr>
          <w:trHeight w:val="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67" w:rsidRPr="002B5000" w:rsidRDefault="00DA3967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7" w:rsidRPr="002B5000" w:rsidRDefault="00DA3967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Total number of hours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67" w:rsidRPr="002B5000" w:rsidRDefault="00DA3967" w:rsidP="002B500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B5000">
              <w:rPr>
                <w:rFonts w:ascii="Verdana" w:hAnsi="Verdana"/>
                <w:sz w:val="20"/>
                <w:szCs w:val="20"/>
              </w:rPr>
              <w:t>7</w:t>
            </w:r>
            <w:r w:rsidR="002B5000" w:rsidRPr="002B5000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DA3967" w:rsidRPr="002B5000" w:rsidTr="00472101">
        <w:trPr>
          <w:trHeight w:val="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67" w:rsidRPr="002B5000" w:rsidRDefault="00DA3967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7" w:rsidRPr="002B5000" w:rsidRDefault="00DA3967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B50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Number of ECTS credits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67" w:rsidRPr="002B5000" w:rsidRDefault="00DA3967" w:rsidP="0047210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B5000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F94A6D" w:rsidRPr="002B5000" w:rsidRDefault="00F94A6D" w:rsidP="00F94A6D">
      <w:pPr>
        <w:spacing w:after="0" w:line="240" w:lineRule="auto"/>
        <w:rPr>
          <w:rFonts w:ascii="Verdana" w:hAnsi="Verdana"/>
          <w:sz w:val="20"/>
          <w:szCs w:val="20"/>
        </w:rPr>
      </w:pPr>
    </w:p>
    <w:p w:rsidR="00F94A6D" w:rsidRPr="00291756" w:rsidRDefault="00F94A6D" w:rsidP="00F94A6D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</w:p>
    <w:p w:rsidR="00F94A6D" w:rsidRPr="00291756" w:rsidRDefault="00F94A6D" w:rsidP="00F94A6D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</w:p>
    <w:p w:rsidR="00F94A6D" w:rsidRPr="00291756" w:rsidRDefault="00F94A6D" w:rsidP="00F94A6D">
      <w:pPr>
        <w:rPr>
          <w:color w:val="FF0000"/>
        </w:rPr>
      </w:pPr>
    </w:p>
    <w:p w:rsidR="00F94A6D" w:rsidRPr="00291756" w:rsidRDefault="00F94A6D" w:rsidP="00F94A6D">
      <w:pPr>
        <w:rPr>
          <w:color w:val="FF0000"/>
        </w:rPr>
      </w:pPr>
    </w:p>
    <w:p w:rsidR="007D2D65" w:rsidRPr="00291756" w:rsidRDefault="000969EC">
      <w:pPr>
        <w:rPr>
          <w:color w:val="FF0000"/>
        </w:rPr>
      </w:pPr>
    </w:p>
    <w:sectPr w:rsidR="007D2D65" w:rsidRPr="00291756" w:rsidSect="00F9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4A6D"/>
    <w:rsid w:val="00092492"/>
    <w:rsid w:val="0009401D"/>
    <w:rsid w:val="000969EC"/>
    <w:rsid w:val="000B19C0"/>
    <w:rsid w:val="00132BFF"/>
    <w:rsid w:val="001C47EB"/>
    <w:rsid w:val="00291756"/>
    <w:rsid w:val="002B5000"/>
    <w:rsid w:val="00311A89"/>
    <w:rsid w:val="00312FB9"/>
    <w:rsid w:val="00345C87"/>
    <w:rsid w:val="00346895"/>
    <w:rsid w:val="00362DED"/>
    <w:rsid w:val="003E69EE"/>
    <w:rsid w:val="004053B5"/>
    <w:rsid w:val="004556E6"/>
    <w:rsid w:val="00472101"/>
    <w:rsid w:val="004C190F"/>
    <w:rsid w:val="004D0578"/>
    <w:rsid w:val="00551B2F"/>
    <w:rsid w:val="005B78DB"/>
    <w:rsid w:val="005C3048"/>
    <w:rsid w:val="005F01EF"/>
    <w:rsid w:val="006556AA"/>
    <w:rsid w:val="006A06B2"/>
    <w:rsid w:val="0070299D"/>
    <w:rsid w:val="00716C48"/>
    <w:rsid w:val="00766E73"/>
    <w:rsid w:val="00772993"/>
    <w:rsid w:val="00850F04"/>
    <w:rsid w:val="00857C70"/>
    <w:rsid w:val="008B30F8"/>
    <w:rsid w:val="00906AD6"/>
    <w:rsid w:val="009239E1"/>
    <w:rsid w:val="00936E68"/>
    <w:rsid w:val="0094748B"/>
    <w:rsid w:val="0099524F"/>
    <w:rsid w:val="00A665B3"/>
    <w:rsid w:val="00A66E97"/>
    <w:rsid w:val="00B44575"/>
    <w:rsid w:val="00BB1CBF"/>
    <w:rsid w:val="00C04E3A"/>
    <w:rsid w:val="00C10F4E"/>
    <w:rsid w:val="00C22864"/>
    <w:rsid w:val="00C36CCA"/>
    <w:rsid w:val="00C6323D"/>
    <w:rsid w:val="00C64D6D"/>
    <w:rsid w:val="00C75939"/>
    <w:rsid w:val="00CC532D"/>
    <w:rsid w:val="00CD393A"/>
    <w:rsid w:val="00D64DC7"/>
    <w:rsid w:val="00D65D15"/>
    <w:rsid w:val="00DA3967"/>
    <w:rsid w:val="00DB203C"/>
    <w:rsid w:val="00E52392"/>
    <w:rsid w:val="00F042A5"/>
    <w:rsid w:val="00F13B67"/>
    <w:rsid w:val="00F40082"/>
    <w:rsid w:val="00F420C0"/>
    <w:rsid w:val="00F94A6D"/>
    <w:rsid w:val="00F94C78"/>
    <w:rsid w:val="00F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51A1"/>
  <w15:docId w15:val="{2B9F87D0-CB6A-4E1D-9A60-F6B7A740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A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D65D15"/>
  </w:style>
  <w:style w:type="paragraph" w:styleId="Bibliografia">
    <w:name w:val="Bibliography"/>
    <w:basedOn w:val="Normalny"/>
    <w:next w:val="Normalny"/>
    <w:uiPriority w:val="37"/>
    <w:semiHidden/>
    <w:unhideWhenUsed/>
    <w:rsid w:val="004C190F"/>
  </w:style>
  <w:style w:type="paragraph" w:styleId="Tekstdymka">
    <w:name w:val="Balloon Text"/>
    <w:basedOn w:val="Normalny"/>
    <w:link w:val="TekstdymkaZnak"/>
    <w:uiPriority w:val="99"/>
    <w:semiHidden/>
    <w:unhideWhenUsed/>
    <w:rsid w:val="00702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7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56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5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5000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34127-5E43-47D9-B72B-DDD54AEC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Jacek Szczepański</cp:lastModifiedBy>
  <cp:revision>13</cp:revision>
  <dcterms:created xsi:type="dcterms:W3CDTF">2019-04-14T09:58:00Z</dcterms:created>
  <dcterms:modified xsi:type="dcterms:W3CDTF">2023-02-27T09:59:00Z</dcterms:modified>
</cp:coreProperties>
</file>